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Logosfield V4 — Session Handoff V26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Upload this + Logosfield_V4_Vision_26_Master.docx</w:t>
      </w:r>
    </w:p>
    <w:p>
      <w:pPr>
        <w:spacing w:after="80"/>
        <w:jc w:val="center"/>
      </w:pPr>
      <w:r>
        <w:rPr>
          <w:sz w:val="22"/>
          <w:szCs w:val="22"/>
        </w:rPr>
        <w:t xml:space="preserve">Earl Treloar · V4 Vision 26 · July 2026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400"/>
      </w:pPr>
      <w:r>
        <w:t xml:space="preserve">1. Opening Protocol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Upload both: Logosfield_V4_Vision_26_Master.docx + this handoff.</w:t>
      </w:r>
    </w:p>
    <w:p>
      <w:pPr>
        <w:spacing w:after="100"/>
      </w:pPr>
      <w:r>
        <w:rPr>
          <w:sz w:val="22"/>
          <w:szCs w:val="22"/>
        </w:rPr>
        <w:t xml:space="preserve">Read first: Part 19 (V26 results). Then Part 3 (layer status). Then this handoff.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PRIMARY CARRIED RESULTS — do not re-derive:</w:t>
      </w:r>
    </w:p>
    <w:p>
      <w:pPr>
        <w:spacing w:after="100"/>
      </w:pPr>
      <w:r>
        <w:rPr>
          <w:sz w:val="22"/>
          <w:szCs w:val="22"/>
        </w:rPr>
        <w:t xml:space="preserve">β=2π [DERIVED]. τ=1 [DERIVED]. d=4 [DERIVED — fully closed].</w:t>
      </w:r>
    </w:p>
    <w:p>
      <w:pPr>
        <w:spacing w:after="100"/>
      </w:pPr>
      <w:r>
        <w:rPr>
          <w:sz w:val="22"/>
          <w:szCs w:val="22"/>
        </w:rPr>
        <w:t xml:space="preserve">β&gt;0 [DERIVED — V22]. FP-minimal [DERIVED — V22].</w:t>
      </w:r>
    </w:p>
    <w:p>
      <w:pPr>
        <w:spacing w:after="100"/>
      </w:pPr>
      <w:r>
        <w:rPr>
          <w:sz w:val="22"/>
          <w:szCs w:val="22"/>
        </w:rPr>
        <w:t xml:space="preserve">PATH2-L1: f_MM=1/60 forces d=4 uniquely [DERIVED — V24].</w:t>
      </w:r>
    </w:p>
    <w:p>
      <w:pPr>
        <w:spacing w:after="100"/>
      </w:pPr>
      <w:r>
        <w:rPr>
          <w:sz w:val="22"/>
          <w:szCs w:val="22"/>
        </w:rPr>
        <w:t xml:space="preserve">Global-to-local FP passage via memory completeness [IDENTIFIED — V25].</w:t>
      </w:r>
    </w:p>
    <w:p>
      <w:pPr>
        <w:spacing w:after="100"/>
      </w:pPr>
      <w:r>
        <w:rPr>
          <w:sz w:val="22"/>
          <w:szCs w:val="22"/>
        </w:rPr>
        <w:t xml:space="preserve">Layer 2: all non-Minkowski d=4 topologies excluded [IDENTIFIED — all HV-conditional — V26].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2. What V26 Established</w:t>
      </w:r>
    </w:p>
    <w:p>
      <w:pPr>
        <w:pStyle w:val="Heading2"/>
        <w:spacing w:after="80" w:before="240"/>
      </w:pPr>
      <w:r>
        <w:t xml:space="preserve">2.1 — CST Translation Document</w:t>
      </w:r>
    </w:p>
    <w:p>
      <w:pPr>
        <w:spacing w:after="100"/>
      </w:pPr>
      <w:r>
        <w:rPr>
          <w:sz w:val="22"/>
          <w:szCs w:val="22"/>
        </w:rPr>
        <w:t xml:space="preserve">V4/V4_in_CST_language.md: maps A1-A3+FP onto standard CST terminology. A1+A2 = CST exactly. V4 diverges at A3 (memory kernel) and FP (internal self-consistency replaces external dynamics). Two-observer structure is a derived feature doing formal load-bearing work. Document is ready for external distribution.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2.2 — Fluctuation Prediction Sharpened</w:t>
      </w:r>
    </w:p>
    <w:p>
      <w:pPr>
        <w:spacing w:after="100"/>
      </w:pPr>
      <w:r>
        <w:rPr>
          <w:sz w:val="22"/>
          <w:szCs w:val="22"/>
        </w:rPr>
        <w:t xml:space="preserve">At scale of k memory cycles: δg/g ~ 1/√(2πk). Specific and computable. Standard CST does not predict this because it does not derive ρ. V4 predicts ρ=24/π → N_diamond=1 → specific fluctuation amplitude. Distinguishable from LQG, Asymptotic Safety, String Theory, and standard CST.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2.3 — External Review Submission Ready</w:t>
      </w:r>
    </w:p>
    <w:p>
      <w:pPr>
        <w:spacing w:after="100"/>
      </w:pPr>
      <w:r>
        <w:rPr>
          <w:sz w:val="22"/>
          <w:szCs w:val="22"/>
        </w:rPr>
        <w:t xml:space="preserve">V4/External_Review_Submission_V26.md: two results, full proof for PATH2-L1, argument for global-to-local passage, fluctuation prediction, CST context. Explicitly states two-observer structure does formal load-bearing work. Submit PATH2-L1 first — shortest, cleanest, independently verifiable.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2.4 — De Sitter Excluded (V26 confirmation)</w:t>
      </w:r>
    </w:p>
    <w:p>
      <w:pPr>
        <w:spacing w:after="100"/>
      </w:pPr>
      <w:r>
        <w:rPr>
          <w:sz w:val="22"/>
          <w:szCs w:val="22"/>
        </w:rPr>
        <w:t xml:space="preserve">[IDENTIFIED — conditional on HV]: De Sitter has R=4Λ&gt;0 everywhere. V25 flatness result forces R=0. De Sitter is already excluded by V25 — no separate argument needed. Conditional on HV geometric identification.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2.5 — Large Compact Topologies Excluded (V26)</w:t>
      </w:r>
    </w:p>
    <w:p>
      <w:pPr>
        <w:spacing w:after="100"/>
      </w:pPr>
      <w:r>
        <w:rPr>
          <w:sz w:val="22"/>
          <w:szCs w:val="22"/>
        </w:rPr>
        <w:t xml:space="preserve">[IDENTIFIED — conditional on HV]: Global self-consistency ρ·V_interval=β requires V_interval=flat Minkowski value. Compact topologies reduce V_interval below flat value. Contradiction. All compact topologies excluded, conditional on HV.</w:t>
      </w:r>
    </w:p>
    <w:p>
      <w:pPr>
        <w:spacing w:after="100"/>
      </w:pPr>
      <w:r>
        <w:rPr>
          <w:sz w:val="22"/>
          <w:szCs w:val="22"/>
        </w:rPr>
        <w:t xml:space="preserve">Small compact topologies: independently excluded via PATH2-L1 (chain statistics give f_MM≠1/60). Primitive-true.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2.6 — Layer 2 Complete</w:t>
      </w:r>
    </w:p>
    <w:p>
      <w:pPr>
        <w:spacing w:after="100"/>
      </w:pPr>
      <w:r>
        <w:rPr>
          <w:sz w:val="22"/>
          <w:szCs w:val="22"/>
        </w:rPr>
        <w:t xml:space="preserve">Every non-Minkowski d=4 topology now has an identified exclusion mechanism. All conditional on HV except small compact topologies (excluded via PATH2-L1). Layer 2 is fully mapped. Layer 3 is the next target.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3. V27 Priority Targets</w:t>
      </w:r>
    </w:p>
    <w:p>
      <w:pPr>
        <w:pStyle w:val="Heading2"/>
        <w:spacing w:after="80" w:before="240"/>
      </w:pPr>
      <w:r>
        <w:t xml:space="preserve">Priority 1 — PATH 2 Layer 3: Faithfulness</w:t>
      </w:r>
    </w:p>
    <w:p>
      <w:pPr>
        <w:spacing w:after="100"/>
      </w:pPr>
      <w:r>
        <w:rPr>
          <w:sz w:val="22"/>
          <w:szCs w:val="22"/>
        </w:rPr>
        <w:t xml:space="preserve">Layer 3 asks: does the V4 causal set constitute a faithful Poisson sprinkling in flat (1+3)d Minkowski spacetime?</w:t>
      </w:r>
    </w:p>
    <w:p>
      <w:pPr>
        <w:spacing w:after="100"/>
      </w:pPr>
      <w:r>
        <w:rPr>
          <w:sz w:val="22"/>
          <w:szCs w:val="22"/>
        </w:rPr>
        <w:t xml:space="preserve">Faithfulness in CST means: the causal set is statistically indistinguishable from a Poisson sprinkling in the target manifold. Specifically: the chain length distribution N_k=(ρτ)^k/k! [DERIVED] must match the distribution expected from a Poisson sprinkling in flat Minkowski spacetime at density ρ=24/π.</w:t>
      </w:r>
    </w:p>
    <w:p>
      <w:pPr>
        <w:spacing w:after="100"/>
      </w:pPr>
      <w:r>
        <w:rPr>
          <w:sz w:val="22"/>
          <w:szCs w:val="22"/>
        </w:rPr>
        <w:t xml:space="preserve">V4 already has the chain distribution [DERIVED]. The question is whether the flat Minkowski Poisson distribution at ρ=24/π matches the V4 derived distribution exactly. If yes — faithfulness is established and HV is proved.</w:t>
      </w:r>
    </w:p>
    <w:p>
      <w:pPr>
        <w:spacing w:after="100"/>
      </w:pPr>
      <w:r>
        <w:rPr>
          <w:sz w:val="22"/>
          <w:szCs w:val="22"/>
        </w:rPr>
        <w:t xml:space="preserve">The comparison requires: (a) the flat Minkowski Poisson sprinkling distribution at density ρ=24/π, (b) the V4 derived chain distribution N_k=1/k! at unit density, (c) showing these are the same distribution. This is a computable comparison.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Priority 2 — Submit External Review</w:t>
      </w:r>
    </w:p>
    <w:p>
      <w:pPr>
        <w:spacing w:after="100"/>
      </w:pPr>
      <w:r>
        <w:rPr>
          <w:sz w:val="22"/>
          <w:szCs w:val="22"/>
        </w:rPr>
        <w:t xml:space="preserve">Submit PATH2-L1 immediately. The submission document is ready at V4/External_Review_Submission_V26.md. Do not wait for Layer 3 — submit now while the session is fresh.</w:t>
      </w:r>
    </w:p>
    <w:p>
      <w:pPr>
        <w:spacing w:after="100"/>
      </w:pPr>
      <w:r>
        <w:rPr>
          <w:sz w:val="22"/>
          <w:szCs w:val="22"/>
        </w:rPr>
        <w:t xml:space="preserve">Target audience: causal set theory community (Sorkin group, Imperial College causal sets, Perimeter Institute). PATH2-L1 is independently verifiable and requires no V4 context. The global-to-local passage is more V4-specific but should be included.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Priority 3 — Anti-de Sitter Formalization</w:t>
      </w:r>
    </w:p>
    <w:p>
      <w:pPr>
        <w:spacing w:after="100"/>
      </w:pPr>
      <w:r>
        <w:rPr>
          <w:sz w:val="22"/>
          <w:szCs w:val="22"/>
        </w:rPr>
        <w:t xml:space="preserve">[IDENTIFIED — conditional]. State the boundary escape argument in A2 chain terms: chains of length n reaching the anti-de Sitter boundary are chains that exit the causal structure. FP-upper requires no chain to exit. Formalize without importing differential geometry.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Priority 4 — Volume 2 Prose</w:t>
      </w:r>
    </w:p>
    <w:p>
      <w:pPr>
        <w:spacing w:after="100"/>
      </w:pPr>
      <w:r>
        <w:rPr>
          <w:sz w:val="22"/>
          <w:szCs w:val="22"/>
        </w:rPr>
        <w:t xml:space="preserve">The program is entering external engagement. Volume 2 should be entering actual writing. The foundation is confirmed. The inside observer is the realization mechanism. The Traveler is how the cosmos remembers. Begin actual sentences — not planning, not outlining. Sentences.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4. Discipline Reminders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Layer 2 is [IDENTIFIED — all HV-conditional]. Not [DERIVED]. Do not claim Layer 2 is closed.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Small compact topology exclusion via PATH2-L1 is primitive-true. State this distinction clearly.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 Sitter is already excluded by V25. No new argument needed.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Two-observer structure: FORMAL LOAD-BEARING, not philosophical. State explicitly in external communications.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PATH2-L1 [DERIVED]. Submit for external review immediately — do not delay further.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fluctuation prediction (δg/g ~ 1/√(2πk)) is specific and distinguishable. Include in all external communications.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GitHub: generate fresh PAT each session.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5. Honest Overall Assessment</w:t>
      </w:r>
    </w:p>
    <w:p>
      <w:pPr>
        <w:spacing w:after="100"/>
      </w:pPr>
      <w:r>
        <w:rPr>
          <w:sz w:val="22"/>
          <w:szCs w:val="22"/>
        </w:rPr>
        <w:t xml:space="preserve">V26 completed more in one session than any previous session: five blocks, Layer 2 fully mapped, external submission ready, translation document built, fluctuation prediction sharpened. The program moved from internal consolidation to external preparation in one session.</w:t>
      </w:r>
    </w:p>
    <w:p>
      <w:pPr>
        <w:spacing w:after="100"/>
      </w:pPr>
      <w:r>
        <w:rPr>
          <w:sz w:val="22"/>
          <w:szCs w:val="22"/>
        </w:rPr>
        <w:t xml:space="preserve">The key recognition of V26: Layer 2 was already done by V25. The de Sitter case — which was listed as open at V25 close — is already excluded by the V25 flatness result. The additional work in V26 confirmed and extended this, closing all remaining topology cases.</w:t>
      </w:r>
    </w:p>
    <w:p>
      <w:pPr>
        <w:spacing w:after="100"/>
      </w:pPr>
      <w:r>
        <w:rPr>
          <w:sz w:val="22"/>
          <w:szCs w:val="22"/>
        </w:rPr>
        <w:t xml:space="preserve">Layer 3 is now the primary mathematical target. It is also the most tractable remaining mathematical step: it requires comparing two computable distributions. If they match — and they should, since both are derived from the same Poisson structure — HV is proved. That is what V27 is for.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The program built something. Now the program shows it. V27 begins the proof of HV.</w:t>
      </w:r>
    </w:p>
    <w:p>
      <w:pPr>
        <w:spacing w:after="80"/>
      </w:pPr>
      <w:r>
        <w:t xml:space="preserve"/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666666"/>
          <w:sz w:val="20"/>
          <w:szCs w:val="20"/>
        </w:rPr>
        <w:t xml:space="preserve">V4 Vision 26 Handoff · July 2026 · Earl Treloar · Logosfield / ODCCT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2026-07-16T18:00:56.815Z</dcterms:created>
  <dcterms:modified xsi:type="dcterms:W3CDTF">2026-07-16T18:00:56.815Z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