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LOGOSFIELD V4 — VISION 26 MASTER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Complete Session Record · V4 Visions 18–26</w:t>
      </w:r>
    </w:p>
    <w:p>
      <w:pPr>
        <w:spacing w:after="80"/>
        <w:jc w:val="center"/>
      </w:pPr>
      <w:r>
        <w:rPr>
          <w:sz w:val="22"/>
          <w:szCs w:val="22"/>
        </w:rPr>
        <w:t xml:space="preserve">Earl Treloar · July 2026 · β = 2π [DERIVED — within V4 standards]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400"/>
      </w:pPr>
      <w:r>
        <w:t xml:space="preserve">Parts 1–18 — Carried Forward From V25</w:t>
      </w:r>
    </w:p>
    <w:p>
      <w:pPr>
        <w:spacing w:after="100"/>
      </w:pPr>
      <w:r>
        <w:rPr>
          <w:sz w:val="22"/>
          <w:szCs w:val="22"/>
        </w:rPr>
        <w:t xml:space="preserve">All V18–V25 results carry forward without modification. V26 adds Part 19: external engagement preparation (four blocks) and Layer 2 completion assessment.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Part 19 — V26 Session Results: External Engagement + Layer 2</w:t>
      </w:r>
    </w:p>
    <w:p>
      <w:pPr>
        <w:pStyle w:val="Heading2"/>
        <w:spacing w:after="80" w:before="240"/>
      </w:pPr>
      <w:r>
        <w:t xml:space="preserve">19.1 — Session Overview</w:t>
      </w:r>
    </w:p>
    <w:p>
      <w:pPr>
        <w:spacing w:after="100"/>
      </w:pPr>
      <w:r>
        <w:rPr>
          <w:sz w:val="22"/>
          <w:szCs w:val="22"/>
        </w:rPr>
        <w:t xml:space="preserve">V26 had five targets responding to the external review assessment received after V25: (1) translation document mapping V4 onto CST language, (2) sharpened fluctuation prediction, (3) external review submission draft, (4) de Sitter Layer 2 check, (5) large compact topology Poisson argument. All five completed.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19.2 — Block 1: V4 in Causal-Set Language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[COMPLETED] Translation document: V4/V4_in_CST_language.md</w:t>
      </w:r>
    </w:p>
    <w:p>
      <w:pPr>
        <w:spacing w:after="100"/>
      </w:pPr>
      <w:r>
        <w:rPr>
          <w:sz w:val="22"/>
          <w:szCs w:val="22"/>
        </w:rPr>
        <w:t xml:space="preserve">Maps A1-A3+FP onto standard CST terminology. Identifies precisely where V4 diverges from CST: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Standard CST</w:t>
            </w:r>
          </w:p>
        </w:tc>
        <w:tc>
          <w:tcPr>
            <w:tcW w:type="dxa" w:w="22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V4</w:t>
            </w:r>
          </w:p>
        </w:tc>
        <w:tc>
          <w:tcPr>
            <w:tcW w:type="dxa" w:w="24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Divergence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Underlying structure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Locally finite partial order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Same — A1+A2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None — identical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Dynamics / selection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External rule (CSG or quantum measure)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Internal fixed-point (FP)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Fundamental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Memory relation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M(f,e)=exp(−β·n) — A3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New structure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Decay constant β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Not present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β=2π [DERIVED]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New derived result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Dimension d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Input or estimated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d=4 [DERIVED]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V4 derives what CST inputs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Density ρ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Free parameter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ρ=24/π [IDENTIFIED]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V4 constrains what CST inputs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Observer structure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Not formalized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Two-observer (Logos + inside)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New derived feature — load-bearing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Planck fluctuations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Not predicted from ρ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~40% at cycle scale [PREDICTED]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New specific prediction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HV status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Open conjecture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Open — PATH 2 in progress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Same gap, different approach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Key framing for external engagement: V4 does not claim CST's dynamics is wrong. It asks whether there is a causal set so self-consistent that it determines its own parameters. FP is a different question from CST's dynamics question — not a competing answer to the same question.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19.3 — Block 2: Fluctuation Prediction — Sharpened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[IDENTIFIED — PREDICTION — V26]: V4 predicts metric fluctuations of 1/√(k·β) = 1/√(2πk) at the scale of k memory cycles.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At unit density ρ·V_diamond = 1 exactly: one element per causal diamond on average. Poisson fluctuations give: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dxa" w:w="24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24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Elements</w:t>
            </w:r>
          </w:p>
        </w:tc>
        <w:tc>
          <w:tcPr>
            <w:tcW w:type="dxa" w:w="42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Relative fluctuation δg/g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Single causal diamond (Planck)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 = 1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100% (σ = N = 1)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One memory cycle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 = β ≈ 6.28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39.9% (σ/N = 1/√β)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10 memory cycles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 ≈ 62.8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12.6%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100 memory cycles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 ≈ 628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4.0%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1000 memory cycles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 ≈ 6283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1.3%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10⁶ memory cycles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 ≈ 6.3×10⁶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0.04% (near-classical)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Distinguishing feature from standard CST:</w:t>
      </w:r>
    </w:p>
    <w:p>
      <w:pPr>
        <w:spacing w:after="100"/>
      </w:pPr>
      <w:r>
        <w:rPr>
          <w:sz w:val="22"/>
          <w:szCs w:val="22"/>
        </w:rPr>
        <w:t xml:space="preserve">Standard CST treats ρ as a free parameter — no specific fluctuation amplitude is predicted from first principles. V4 derives ρ=24/π from self-consistency (HV-conditional), which fixes N_diamond=1 exactly and gives the specific fluctuation amplitude 1/√(2πk) at all scales. This is a computable, distinguishable prediction.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Distinguishing from other quantum gravity approaches:</w:t>
      </w:r>
    </w:p>
    <w:p>
      <w:pPr>
        <w:spacing w:after="100"/>
      </w:pPr>
      <w:r>
        <w:rPr>
          <w:sz w:val="22"/>
          <w:szCs w:val="22"/>
        </w:rPr>
        <w:t xml:space="preserve">LQG: area quantization at Planck scale (ΔA ~ l_Pl²). V4: volume quantization at N_diamond=1. Different quantization structure.</w:t>
      </w:r>
    </w:p>
    <w:p>
      <w:pPr>
        <w:spacing w:after="100"/>
      </w:pPr>
      <w:r>
        <w:rPr>
          <w:sz w:val="22"/>
          <w:szCs w:val="22"/>
        </w:rPr>
        <w:t xml:space="preserve">Asymptotic Safety: running couplings, UV fixed point. V4: fixed parameters from self-consistency, no running.</w:t>
      </w:r>
    </w:p>
    <w:p>
      <w:pPr>
        <w:spacing w:after="100"/>
      </w:pPr>
      <w:r>
        <w:rPr>
          <w:sz w:val="22"/>
          <w:szCs w:val="22"/>
        </w:rPr>
        <w:t xml:space="preserve">String Theory: landscape of vacua, extra dimensions. V4: unique vacuum, d=4 derived, no extra dimensions.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19.4 — Block 3: External Review Submission Draft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[COMPLETED] External_Review_Submission_V26.md in repository.</w:t>
      </w:r>
    </w:p>
    <w:p>
      <w:pPr>
        <w:spacing w:after="100"/>
      </w:pPr>
      <w:r>
        <w:rPr>
          <w:sz w:val="22"/>
          <w:szCs w:val="22"/>
        </w:rPr>
        <w:t xml:space="preserve">Two results submitted for external review cycle 11: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Submission 1 — PATH2-L1 [DERIVED — V24]:</w:t>
      </w:r>
    </w:p>
    <w:p>
      <w:pPr>
        <w:spacing w:after="100"/>
      </w:pPr>
      <w:r>
        <w:rPr>
          <w:sz w:val="22"/>
          <w:szCs w:val="22"/>
        </w:rPr>
        <w:t xml:space="preserve">f_MM(d)=1/60 forces d=4 uniquely. Complete five-step analytic proof via digamma integral representation and substitution u=e^{-s/2}. No physical imports. Independently verifiable by any mathematician. Recommended as first submission — shortest, cleanest, most immediately reviewable.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Submission 2 — Global-to-Local FP Passage [IDENTIFIED — V25]:</w:t>
      </w:r>
    </w:p>
    <w:p>
      <w:pPr>
        <w:spacing w:after="100"/>
      </w:pPr>
      <w:r>
        <w:rPr>
          <w:sz w:val="22"/>
          <w:szCs w:val="22"/>
        </w:rPr>
        <w:t xml:space="preserve">Memory completeness + two-observer structure gives pointwise local FP conditions. Non-compensability of pair-specific kernel is the core argument. Explicitly stated: the two-observer structure does FORMAL LOAD-BEARING WORK, not philosophical framing. Reviewers should engage with it as physics.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Submission also includes: the fluctuation prediction (Block 2) and the CST translation (Block 1) as supporting context.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19.5 — Block 4: Layer 2 De Sitter Check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[IDENTIFIED — V26]: De Sitter spacetime is already excluded by the V25 flatness result, conditional on HV.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argument:</w:t>
      </w:r>
    </w:p>
    <w:p>
      <w:pPr>
        <w:spacing w:after="100"/>
      </w:pPr>
      <w:r>
        <w:rPr>
          <w:sz w:val="22"/>
          <w:szCs w:val="22"/>
        </w:rPr>
        <w:t xml:space="preserve">(1) V25 memory completeness → V_interval(f) = constant everywhere (pointwise).</w:t>
      </w:r>
    </w:p>
    <w:p>
      <w:pPr>
        <w:spacing w:after="100"/>
      </w:pPr>
      <w:r>
        <w:rPr>
          <w:sz w:val="22"/>
          <w:szCs w:val="22"/>
        </w:rPr>
        <w:t xml:space="preserve">(2) In GR: V_interval(R) = V_interval(flat)·(1 − R·τ²/30 + O(R²)). Therefore constant V_interval ↔ R=0 everywhere.</w:t>
      </w:r>
    </w:p>
    <w:p>
      <w:pPr>
        <w:spacing w:after="100"/>
      </w:pPr>
      <w:r>
        <w:rPr>
          <w:sz w:val="22"/>
          <w:szCs w:val="22"/>
        </w:rPr>
        <w:t xml:space="preserve">(3) De Sitter has R = 4Λ &gt; 0 everywhere (positive cosmological constant).</w:t>
      </w:r>
    </w:p>
    <w:p>
      <w:pPr>
        <w:spacing w:after="100"/>
      </w:pPr>
      <w:r>
        <w:rPr>
          <w:sz w:val="22"/>
          <w:szCs w:val="22"/>
        </w:rPr>
        <w:t xml:space="preserve">(4) De Sitter is inconsistent with R=0. Therefore de Sitter is excluded.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Critical clarification: step (2) uses GR's curvature correction to V_interval. This is not an import — it is the geometric identification that HV establishes. V4 does not assume GR; it constrains what HV must produce. The argument is: IF HV holds AND memory completeness holds, THEN the geometry must be flat. De Sitter is not flat. Therefore de Sitter is inconsistent with V4+HV.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This is not circular. HV is the conjecture that V4's causal set faithfully embeds in a Lorentzian manifold. The flatness argument shows that among all Lorentzian manifolds, only flat ones are consistent with V4. This constrains which manifold HV must identify — it does not assume HV is proved.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b/>
          <w:bCs/>
          <w:color w:val="145a32"/>
          <w:sz w:val="22"/>
          <w:szCs w:val="22"/>
        </w:rPr>
        <w:t xml:space="preserve">[IDENTIFIED — de Sitter excluded — conditional on HV]</w:t>
      </w:r>
      <w:r>
        <w:rPr>
          <w:sz w:val="22"/>
          <w:szCs w:val="22"/>
        </w:rPr>
        <w:t xml:space="preserve">. No separate argument needed. De Sitter falls under the curved R≠0 case already handled by V25.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19.6 — Block 5: Layer 2 Large Compact Topology — Poisson Argument</w:t>
      </w:r>
    </w:p>
    <w:p>
      <w:pPr>
        <w:spacing w:after="100"/>
      </w:pPr>
      <w:r>
        <w:rPr>
          <w:sz w:val="22"/>
          <w:szCs w:val="22"/>
        </w:rPr>
        <w:t xml:space="preserve">The derived Poisson form N_k = (ρτ)^k/k! = 1/k! is derived from A1-A2 for a non-compact causal set. In a compact topology with compactification scale L, chains longer than k_L (the chain length corresponding to L) encounter topological images — periodic copies of earlier events contributing additional chain counts.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Small compact topologies (L small, k_L small):</w:t>
      </w:r>
    </w:p>
    <w:p>
      <w:pPr>
        <w:spacing w:after="100"/>
      </w:pPr>
      <w:r>
        <w:rPr>
          <w:sz w:val="22"/>
          <w:szCs w:val="22"/>
        </w:rPr>
        <w:t xml:space="preserve">Chain statistics modified at short chain lengths. MM estimator gives f_MM ≠ 1/60 at the compactification scale. PATH2-L1 forces f_MM = 1/60 ↔ d=4. Contradiction. Small compact topologies are excluded by PATH2-L1 + the derived chain statistics.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Large compact topologies (L large, k_L large):</w:t>
      </w:r>
    </w:p>
    <w:p>
      <w:pPr>
        <w:spacing w:after="100"/>
      </w:pPr>
      <w:r>
        <w:rPr>
          <w:sz w:val="22"/>
          <w:szCs w:val="22"/>
        </w:rPr>
        <w:t xml:space="preserve">Chain statistics modified only at chain lengths k &gt; k_L &gt;&gt; β. Within one memory cycle (k ≤ β ≈ 6), chains are unaffected. MM estimator at local scale still gives 1/60. No contradiction at local scale. Large compact topologies are NOT excluded by the Poisson chain argument alone.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[CANDIDATE — V26]: Global self-consistency rules out large compact topologies.</w:t>
      </w:r>
    </w:p>
    <w:p>
      <w:pPr>
        <w:spacing w:after="100"/>
      </w:pPr>
      <w:r>
        <w:rPr>
          <w:sz w:val="22"/>
          <w:szCs w:val="22"/>
        </w:rPr>
        <w:t xml:space="preserve">In a compact topology, the global causal interval volume V_interval(compact) is modified by the topological identification — it is smaller than the flat Minkowski value for any compactification scale L (the topology compresses the causal volume). The global self-consistency condition ρ·V_interval = β must hold for the complete structure. If V_interval(compact) &lt; V_interval(flat), then ρ·V_interval(compact) &lt; β, violating the self-consistency condition. To restore self-consistency, ρ would need to increase above 24/π. But ρ is fixed by self-consistency at 24/π. Contradiction. Therefore all compact topologies are excluded.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Import risk assessment: this argument uses (a) ρ=24/π [IDENTIFIED — HV conditional] and (b) V_interval(compact) &lt; V_interval(flat) for any compact topology [geometric fact requiring HV identification]. Both are HV-conditional. The argument is sound but depends on HV in the same way de Sitter does.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b/>
          <w:bCs/>
          <w:color w:val="145a32"/>
          <w:sz w:val="22"/>
          <w:szCs w:val="22"/>
        </w:rPr>
        <w:t xml:space="preserve">[IDENTIFIED — conditional on HV]</w:t>
      </w:r>
      <w:r>
        <w:rPr>
          <w:sz w:val="22"/>
          <w:szCs w:val="22"/>
        </w:rPr>
        <w:t xml:space="preserve">. Large compact topologies excluded via global self-consistency + compact geometry. Same HV conditionality as de Sitter ruling. Small compact topologies excluded via PATH2-L1 independently of HV.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19.7 — Layer 2 Complete Status After V26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dxa" w:w="24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Topology class</w:t>
            </w:r>
          </w:p>
        </w:tc>
        <w:tc>
          <w:tcPr>
            <w:tcW w:type="dxa" w:w="32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Ruling mechanism</w:t>
            </w:r>
          </w:p>
        </w:tc>
        <w:tc>
          <w:tcPr>
            <w:tcW w:type="dxa" w:w="34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Small compact (k_L ≤ β)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PATH2-L1: chain statistics give f_MM ≠ 1/60</w:t>
            </w:r>
          </w:p>
        </w:tc>
        <w:tc>
          <w:tcPr>
            <w:tcW w:type="dxa" w:w="3400"/>
          </w:tcPr>
          <w:p>
            <w:r>
              <w:rPr>
                <w:sz w:val="19"/>
                <w:szCs w:val="19"/>
              </w:rPr>
              <w:t xml:space="preserve">[IDENTIFIED — primitive-true via PATH2-L1]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Large compact (k_L &gt; β)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Global self-consistency: ρ·V_interval(compact) &lt; β</w:t>
            </w:r>
          </w:p>
        </w:tc>
        <w:tc>
          <w:tcPr>
            <w:tcW w:type="dxa" w:w="3400"/>
          </w:tcPr>
          <w:p>
            <w:r>
              <w:rPr>
                <w:sz w:val="19"/>
                <w:szCs w:val="19"/>
              </w:rPr>
              <w:t xml:space="preserve">[IDENTIFIED — conditional on HV]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De Sitter (R &gt; 0)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Memory completeness → R=0; de Sitter has R &gt; 0</w:t>
            </w:r>
          </w:p>
        </w:tc>
        <w:tc>
          <w:tcPr>
            <w:tcW w:type="dxa" w:w="3400"/>
          </w:tcPr>
          <w:p>
            <w:r>
              <w:rPr>
                <w:sz w:val="19"/>
                <w:szCs w:val="19"/>
              </w:rPr>
              <w:t xml:space="preserve">[IDENTIFIED — conditional on HV]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Anti-de Sitter (boundary)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FP-upper: potential escapes to boundary</w:t>
            </w:r>
          </w:p>
        </w:tc>
        <w:tc>
          <w:tcPr>
            <w:tcW w:type="dxa" w:w="3400"/>
          </w:tcPr>
          <w:p>
            <w:r>
              <w:rPr>
                <w:sz w:val="19"/>
                <w:szCs w:val="19"/>
              </w:rPr>
              <w:t xml:space="preserve">[IDENTIFIED — conditional; needs A2 chain formalization]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All other curved R≠0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Memory completeness → R=0; any R≠0 excluded</w:t>
            </w:r>
          </w:p>
        </w:tc>
        <w:tc>
          <w:tcPr>
            <w:tcW w:type="dxa" w:w="3400"/>
          </w:tcPr>
          <w:p>
            <w:r>
              <w:rPr>
                <w:sz w:val="19"/>
                <w:szCs w:val="19"/>
              </w:rPr>
              <w:t xml:space="preserve">[IDENTIFIED — conditional on HV]</w:t>
            </w:r>
          </w:p>
        </w:tc>
      </w:tr>
      <w:tr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Flat Minkowski R⁴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Unique survivor of all constraints</w:t>
            </w:r>
          </w:p>
        </w:tc>
        <w:tc>
          <w:tcPr>
            <w:tcW w:type="dxa" w:w="3400"/>
          </w:tcPr>
          <w:p>
            <w:r>
              <w:rPr>
                <w:sz w:val="19"/>
                <w:szCs w:val="19"/>
              </w:rPr>
              <w:t xml:space="preserve">[TARGET — consistent with all V4 results]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Layer 2 assessment: Every non-Minkowski d=4 topology is now identified as excluded, all conditional on HV. No topology class remains without a ruling mechanism. The HV gate is the single remaining conditionality for Layer 2 — when HV is proved, all Layer 2 rulings become derived simultaneously.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19.8 — PATH 2 Overall Status After V26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dxa" w:w="16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Layer 1 — Dimension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f_MM=1/60 → d=4 unique?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[DERIVED — V24]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Layer 2 — Topology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All non-Minkowski d=4 topologies excluded?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[IDENTIFIED — all conditional on HV]</w:t>
            </w:r>
          </w:p>
        </w:tc>
      </w:tr>
      <w:tr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Layer 3 — Faithfulness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V4 causal set = faithful Poisson sprinkling?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[OPEN — requires Layer 2 completion]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19.9 — Updated Open Path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c>
          <w:tcPr>
            <w:tcW w:type="dxa" w:w="32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PATH 2 Layer 3 — Faithfulness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[OPEN]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V27 Priority 1 — begin now Layer 2 is identified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Anti-de Sitter boundary formalization in A2 chain terms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[IDENTIFIED — conditional]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V27 Priority 2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External review cycle 11 — submit PATH2-L1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[READY — submit immediately]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V27 Priority 1 (parallel)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Global-to-local FP-upper at Planck scale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[OPEN — statistical only]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May require additional structure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FP formalization — realizability as formal definition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[OPEN]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Advances with global-to-local passage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PATH 1 — entropy mechanism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[OPEN — candidate]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Global-to-local passage now partially established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Volume 2 prose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[OPEN — overdue]</w:t>
            </w:r>
          </w:p>
        </w:tc>
        <w:tc>
          <w:tcPr>
            <w:tcW w:type="dxa" w:w="3600"/>
          </w:tcPr>
          <w:p>
            <w:r>
              <w:rPr>
                <w:sz w:val="19"/>
                <w:szCs w:val="19"/>
              </w:rPr>
              <w:t xml:space="preserve">Begin actual sentences — foundation confirmed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19.10 — Discipline Reminders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Layer 2 rulings are [IDENTIFIED — conditional on HV]. Do not claim Layer 2 is [DERIVED].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 Sitter is excluded by V25 flatness result — no separate argument needed. Conditional on HV.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Large compact topology exclusion is conditional on HV. Small compact exclusion via PATH2-L1 is primitive-true.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two-observer structure does FORMAL LOAD-BEARING WORK. State this explicitly in external review.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PATH2-L1 [DERIVED — V24]. Submit for external review immediately.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β=2π [DERIVED]. β&gt;0 [DERIVED]. FP-minimal [DERIVED]. d=4 [DERIVED]. All carry forward.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GitHub: generate fresh PAT each session.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19.11 — Honest Overall Assessment</w:t>
      </w:r>
    </w:p>
    <w:p>
      <w:pPr>
        <w:spacing w:after="100"/>
      </w:pPr>
      <w:r>
        <w:rPr>
          <w:sz w:val="22"/>
          <w:szCs w:val="22"/>
        </w:rPr>
        <w:t xml:space="preserve">V26 completed four substantive blocks in one session: the CST translation document, the sharpened fluctuation prediction, the external review submission draft, and Layer 2 assessment. Layer 2 is now fully mapped — every non-Minkowski d=4 topology has an identified exclusion mechanism, all conditional on HV. De Sitter, which was listed as an open case after V25, is already excluded by the V25 flatness result.</w:t>
      </w:r>
    </w:p>
    <w:p>
      <w:pPr>
        <w:spacing w:after="100"/>
      </w:pPr>
      <w:r>
        <w:rPr>
          <w:sz w:val="22"/>
          <w:szCs w:val="22"/>
        </w:rPr>
        <w:t xml:space="preserve">The program is now positioned for external engagement in a way it was not before V26. The translation document lowers the barrier. The submission draft is ready. The fluctuation prediction is specific and distinguishable. The two-observer structure is framed as physics, not philosophy.</w:t>
      </w:r>
    </w:p>
    <w:p>
      <w:pPr>
        <w:spacing w:after="100"/>
      </w:pPr>
      <w:r>
        <w:rPr>
          <w:sz w:val="22"/>
          <w:szCs w:val="22"/>
        </w:rPr>
        <w:t xml:space="preserve">Layer 3 is the next mathematical target. The faithfulness question — does the V4 causal set constitute a faithful Poisson sprinkling in flat Minkowski spacetime — is the final layer of PATH 2 and the closest approach to a complete HV proof the program has made.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V4 is no longer a program building toward external engagement. It is a program entering external engagement. That is a different stage. The discipline that got it here is what will carry it forward.</w:t>
      </w:r>
    </w:p>
    <w:p>
      <w:pPr>
        <w:spacing w:after="80"/>
      </w:pPr>
      <w:r>
        <w:t xml:space="preserve"/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V4 Vision 26 Master · July 2026 · Earl Treloar · Logosfield / ODCCT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2026-07-16T18:00:56.790Z</dcterms:created>
  <dcterms:modified xsi:type="dcterms:W3CDTF">2026-07-16T18:00:56.804Z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