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Logosfield V4 — Session Handoff Document</w:t>
      </w:r>
    </w:p>
    <w:p>
      <w:pPr>
        <w:spacing w:after="80"/>
        <w:jc w:val="center"/>
      </w:pPr>
      <w:r>
        <w:rPr>
          <w:i/>
          <w:iCs/>
          <w:color w:val="666666"/>
          <w:sz w:val="22"/>
          <w:szCs w:val="22"/>
        </w:rPr>
        <w:t xml:space="preserve">Open the next session with this document + V4_Vision_17_TrulyFinal.docx</w:t>
      </w:r>
    </w:p>
    <w:p>
      <w:pPr>
        <w:spacing w:after="300"/>
        <w:jc w:val="center"/>
      </w:pPr>
      <w:r>
        <w:rPr>
          <w:color w:val="666666"/>
          <w:sz w:val="20"/>
          <w:szCs w:val="20"/>
        </w:rPr>
        <w:t xml:space="preserve">Earl Treloar · V4 Vision 17 Truly Final · June 22, 2026</w:t>
      </w:r>
    </w:p>
    <w:p>
      <w:pPr>
        <w:pBdr>
          <w:top w:val="single" w:color="1B5E20" w:sz="4"/>
          <w:bottom w:val="single" w:color="1B5E20" w:sz="4"/>
        </w:pBdr>
        <w:spacing w:after="80"/>
        <w:jc w:val="center"/>
      </w:pPr>
      <w:r>
        <w:rPr>
          <w:b/>
          <w:bCs/>
          <w:color w:val="1B5E20"/>
          <w:sz w:val="24"/>
          <w:szCs w:val="24"/>
        </w:rPr>
        <w:t xml:space="preserve">FOUNDATION STATUS: CLEAN. LAYER 2 FULLY CLOSED. SOLE REMAINING GATE: Q4B CONTINUUM LIMIT.</w:t>
      </w:r>
    </w:p>
    <w:p>
      <w:pPr>
        <w:spacing w:after="300"/>
        <w:jc w:val="center"/>
      </w:pPr>
      <w:r>
        <w:rPr>
          <w:i/>
          <w:iCs/>
          <w:color w:val="1B5E20"/>
          <w:sz w:val="20"/>
          <w:szCs w:val="20"/>
        </w:rPr>
        <w:t xml:space="preserve">Confirmed by two independent external peer reviews (Grok expert mode, June 22, 2026)</w:t>
      </w:r>
    </w:p>
    <w:p>
      <w:pPr>
        <w:pStyle w:val="Heading1"/>
        <w:spacing w:after="120" w:before="200"/>
      </w:pPr>
      <w:r>
        <w:t xml:space="preserve">1. Opening Protocol</w:t>
      </w:r>
    </w:p>
    <w:p>
      <w:pPr>
        <w:spacing w:after="80"/>
      </w:pPr>
      <w:r>
        <w:rPr>
          <w:b/>
          <w:bCs/>
          <w:sz w:val="24"/>
          <w:szCs w:val="24"/>
        </w:rPr>
        <w:t xml:space="preserve">Upload both files: </w:t>
      </w:r>
      <w:r>
        <w:rPr>
          <w:sz w:val="24"/>
          <w:szCs w:val="24"/>
        </w:rPr>
        <w:t xml:space="preserve">Logosfield_V4_Vision_17_TrulyFinal.docx and this handoff document.</w:t>
      </w:r>
    </w:p>
    <w:p>
      <w:pPr>
        <w:spacing w:after="80"/>
      </w:pPr>
      <w:r>
        <w:rPr>
          <w:b/>
          <w:bCs/>
          <w:sz w:val="24"/>
          <w:szCs w:val="24"/>
        </w:rPr>
        <w:t xml:space="preserve">Say to Claude: </w:t>
      </w:r>
      <w:r>
        <w:rPr>
          <w:i/>
          <w:iCs/>
          <w:sz w:val="24"/>
          <w:szCs w:val="24"/>
        </w:rPr>
        <w:t xml:space="preserve">"Read Sections 2.0, 2.5, 2.7, 2.7b, Part 4 (especially 4.6 and 4.7) completely before we begin. Carry the V4 discipline line strictly — flag any S² import or continuum geometry import the moment it appears. This is a pregeometric framework. No SM or GR before derived."</w:t>
      </w:r>
    </w:p>
    <w:p>
      <w:pPr>
        <w:spacing w:after="240"/>
      </w:pPr>
      <w:r>
        <w:rPr>
          <w:b/>
          <w:bCs/>
          <w:sz w:val="24"/>
          <w:szCs w:val="24"/>
        </w:rPr>
        <w:t xml:space="preserve">State the target: </w:t>
      </w:r>
      <w:r>
        <w:rPr>
          <w:i/>
          <w:iCs/>
          <w:sz w:val="24"/>
          <w:szCs w:val="24"/>
        </w:rPr>
        <w:t xml:space="preserve">"The next target is deriving β = 2π from the continuum limit of S = ρ·(exp(τ·exp(−β)) − 1) without importing S² solid angle geometry. This is the make-or-break derivation."</w:t>
      </w:r>
    </w:p>
    <w:p>
      <w:pPr>
        <w:pStyle w:val="Heading1"/>
        <w:spacing w:after="120" w:before="200"/>
      </w:pPr>
      <w:r>
        <w:t xml:space="preserve">2. The Founding Principle</w:t>
      </w:r>
    </w:p>
    <w:p>
      <w:pPr>
        <w:spacing w:after="120"/>
        <w:jc w:val="center"/>
      </w:pPr>
      <w:r>
        <w:rPr>
          <w:i/>
          <w:iCs/>
          <w:sz w:val="26"/>
          <w:szCs w:val="26"/>
        </w:rPr>
        <w:t xml:space="preserve">"All potential is realized before it began. The structure cannot over-realize that maximum."</w:t>
      </w:r>
    </w:p>
    <w:p>
      <w:pPr>
        <w:spacing w:after="200"/>
      </w:pPr>
      <w:r>
        <w:rPr>
          <w:sz w:val="24"/>
          <w:szCs w:val="24"/>
        </w:rPr>
        <w:t xml:space="preserve">Two faces: Full potential (everything consistent with internal consistency is realized) and Self-bounding (cannot exceed what internal consistency permits). Key framing: FP selects complete realization, not minimum. This was the load-bearing correction that opened the k-chain homogeneity derivation.</w:t>
      </w:r>
    </w:p>
    <w:p>
      <w:pPr>
        <w:pStyle w:val="Heading1"/>
        <w:spacing w:after="120" w:before="200"/>
      </w:pPr>
      <w:r>
        <w:t xml:space="preserve">3. The Two Axioms (= Causal Set Axioms)</w:t>
      </w:r>
    </w:p>
    <w:p>
      <w:pPr>
        <w:spacing w:after="80"/>
      </w:pPr>
      <w:r>
        <w:rPr>
          <w:b/>
          <w:bCs/>
          <w:sz w:val="24"/>
          <w:szCs w:val="24"/>
        </w:rPr>
        <w:t xml:space="preserve">A1 [AXIOM]: </w:t>
      </w:r>
      <w:r>
        <w:rPr>
          <w:sz w:val="24"/>
          <w:szCs w:val="24"/>
        </w:rPr>
        <w:t xml:space="preserve">Non-empty set E of distinct elements (events). Bare, no properties.</w:t>
      </w:r>
    </w:p>
    <w:p>
      <w:pPr>
        <w:spacing w:after="80"/>
      </w:pPr>
      <w:r>
        <w:rPr>
          <w:b/>
          <w:bCs/>
          <w:sz w:val="24"/>
          <w:szCs w:val="24"/>
        </w:rPr>
        <w:t xml:space="preserve">A2 [AXIOM]: </w:t>
      </w:r>
      <w:r>
        <w:rPr>
          <w:sz w:val="24"/>
          <w:szCs w:val="24"/>
        </w:rPr>
        <w:t xml:space="preserve">Binary relation ≺ (causal precedence): irreflexive, transitive, locally finite. Direction primitive. No metric.</w:t>
      </w:r>
    </w:p>
    <w:p>
      <w:pPr>
        <w:spacing w:after="80"/>
      </w:pPr>
      <w:r>
        <w:rPr>
          <w:b/>
          <w:bCs/>
          <w:sz w:val="24"/>
          <w:szCs w:val="24"/>
        </w:rPr>
        <w:t xml:space="preserve">A3 [AXIOM — form derived]: </w:t>
      </w:r>
      <w:r>
        <w:rPr>
          <w:sz w:val="24"/>
          <w:szCs w:val="24"/>
        </w:rPr>
        <w:t xml:space="preserve">Memory relation M: composable, M(e,f)=0 if e⊀f. Form exp(−βL) derived from composability + self-bounding. Strongest derivation in framework.</w:t>
      </w:r>
    </w:p>
    <w:p>
      <w:pPr>
        <w:spacing w:after="200"/>
      </w:pPr>
      <w:r>
        <w:rPr>
          <w:b/>
          <w:bCs/>
          <w:sz w:val="24"/>
          <w:szCs w:val="24"/>
        </w:rPr>
        <w:t xml:space="preserve">Key insight: </w:t>
      </w:r>
      <w:r>
        <w:rPr>
          <w:sz w:val="24"/>
          <w:szCs w:val="24"/>
        </w:rPr>
        <w:t xml:space="preserve">A1+A2 = causal set (CST) axioms exactly. V4 diverges from CST at A3 (composable memory relation) + FP (founding principle with self-bounding). This is where V4 attempts to derive what CST assumes.</w:t>
      </w:r>
    </w:p>
    <w:p>
      <w:pPr>
        <w:pStyle w:val="Heading1"/>
        <w:spacing w:after="160" w:before="200"/>
      </w:pPr>
      <w:r>
        <w:t xml:space="preserve">4. Complete Status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Pr>
          <w:p>
            <w:r>
              <w:rPr>
                <w:b/>
                <w:bCs/>
                <w:sz w:val="20"/>
                <w:szCs w:val="20"/>
              </w:rPr>
              <w:t xml:space="preserve">Result</w:t>
            </w:r>
          </w:p>
        </w:tc>
        <w:tc>
          <w:tcPr>
            <w:tcW w:type="dxa" w:w="2200"/>
          </w:tcPr>
          <w:p>
            <w:r>
              <w:rPr>
                <w:b/>
                <w:bCs/>
                <w:sz w:val="20"/>
                <w:szCs w:val="20"/>
              </w:rPr>
              <w:t xml:space="preserve">Status</w:t>
            </w:r>
          </w:p>
        </w:tc>
        <w:tc>
          <w:tcPr>
            <w:tcW w:type="dxa" w:w="4000"/>
          </w:tcPr>
          <w:p>
            <w:r>
              <w:rPr>
                <w:b/>
                <w:bCs/>
                <w:sz w:val="20"/>
                <w:szCs w:val="20"/>
              </w:rPr>
              <w:t xml:space="preserve">Key note</w:t>
            </w:r>
          </w:p>
        </w:tc>
      </w:tr>
      <w:tr>
        <w:tc>
          <w:tcPr>
            <w:tcW w:type="dxa" w:w="2800"/>
          </w:tcPr>
          <w:p>
            <w:r>
              <w:rPr>
                <w:sz w:val="20"/>
                <w:szCs w:val="20"/>
              </w:rPr>
              <w:t xml:space="preserve">Founding principle FP</w:t>
            </w:r>
          </w:p>
        </w:tc>
        <w:tc>
          <w:tcPr>
            <w:tcW w:type="dxa" w:w="2200"/>
          </w:tcPr>
          <w:p>
            <w:r>
              <w:rPr>
                <w:color w:val="444441"/>
                <w:sz w:val="20"/>
                <w:szCs w:val="20"/>
              </w:rPr>
              <w:t xml:space="preserve">[CONSTRAINT]</w:t>
            </w:r>
          </w:p>
        </w:tc>
        <w:tc>
          <w:tcPr>
            <w:tcW w:type="dxa" w:w="4000"/>
          </w:tcPr>
          <w:p>
            <w:r>
              <w:rPr>
                <w:sz w:val="20"/>
                <w:szCs w:val="20"/>
              </w:rPr>
              <w:t xml:space="preserve">Sole generative ground</w:t>
            </w:r>
          </w:p>
        </w:tc>
      </w:tr>
      <w:tr>
        <w:tc>
          <w:tcPr>
            <w:tcW w:type="dxa" w:w="2800"/>
          </w:tcPr>
          <w:p>
            <w:r>
              <w:rPr>
                <w:sz w:val="20"/>
                <w:szCs w:val="20"/>
              </w:rPr>
              <w:t xml:space="preserve">Events E</w:t>
            </w:r>
          </w:p>
        </w:tc>
        <w:tc>
          <w:tcPr>
            <w:tcW w:type="dxa" w:w="2200"/>
          </w:tcPr>
          <w:p>
            <w:r>
              <w:rPr>
                <w:color w:val="534AB7"/>
                <w:sz w:val="20"/>
                <w:szCs w:val="20"/>
              </w:rPr>
              <w:t xml:space="preserve">[AXIOM A1]</w:t>
            </w:r>
          </w:p>
        </w:tc>
        <w:tc>
          <w:tcPr>
            <w:tcW w:type="dxa" w:w="4000"/>
          </w:tcPr>
          <w:p>
            <w:r>
              <w:rPr>
                <w:sz w:val="20"/>
                <w:szCs w:val="20"/>
              </w:rPr>
              <w:t xml:space="preserve">Minimal substrate</w:t>
            </w:r>
          </w:p>
        </w:tc>
      </w:tr>
      <w:tr>
        <w:tc>
          <w:tcPr>
            <w:tcW w:type="dxa" w:w="2800"/>
          </w:tcPr>
          <w:p>
            <w:r>
              <w:rPr>
                <w:sz w:val="20"/>
                <w:szCs w:val="20"/>
              </w:rPr>
              <w:t xml:space="preserve">Partial order ≺</w:t>
            </w:r>
          </w:p>
        </w:tc>
        <w:tc>
          <w:tcPr>
            <w:tcW w:type="dxa" w:w="2200"/>
          </w:tcPr>
          <w:p>
            <w:r>
              <w:rPr>
                <w:color w:val="534AB7"/>
                <w:sz w:val="20"/>
                <w:szCs w:val="20"/>
              </w:rPr>
              <w:t xml:space="preserve">[AXIOM A2]</w:t>
            </w:r>
          </w:p>
        </w:tc>
        <w:tc>
          <w:tcPr>
            <w:tcW w:type="dxa" w:w="4000"/>
          </w:tcPr>
          <w:p>
            <w:r>
              <w:rPr>
                <w:sz w:val="20"/>
                <w:szCs w:val="20"/>
              </w:rPr>
              <w:t xml:space="preserve">A1+A2 = CST axioms</w:t>
            </w:r>
          </w:p>
        </w:tc>
      </w:tr>
      <w:tr>
        <w:tc>
          <w:tcPr>
            <w:tcW w:type="dxa" w:w="2800"/>
          </w:tcPr>
          <w:p>
            <w:r>
              <w:rPr>
                <w:sz w:val="20"/>
                <w:szCs w:val="20"/>
              </w:rPr>
              <w:t xml:space="preserve">Memory relation M</w:t>
            </w:r>
          </w:p>
        </w:tc>
        <w:tc>
          <w:tcPr>
            <w:tcW w:type="dxa" w:w="2200"/>
          </w:tcPr>
          <w:p>
            <w:r>
              <w:rPr>
                <w:color w:val="1565C0"/>
                <w:sz w:val="20"/>
                <w:szCs w:val="20"/>
              </w:rPr>
              <w:t xml:space="preserve">[AXIOM A3 — form derived]</w:t>
            </w:r>
          </w:p>
        </w:tc>
        <w:tc>
          <w:tcPr>
            <w:tcW w:type="dxa" w:w="4000"/>
          </w:tcPr>
          <w:p>
            <w:r>
              <w:rPr>
                <w:sz w:val="20"/>
                <w:szCs w:val="20"/>
              </w:rPr>
              <w:t xml:space="preserve">exp(−βL) derived from composability+FP</w:t>
            </w:r>
          </w:p>
        </w:tc>
      </w:tr>
      <w:tr>
        <w:tc>
          <w:tcPr>
            <w:tcW w:type="dxa" w:w="2800"/>
          </w:tcPr>
          <w:p>
            <w:r>
              <w:rPr>
                <w:sz w:val="20"/>
                <w:szCs w:val="20"/>
              </w:rPr>
              <w:t xml:space="preserve">Exponential kernel</w:t>
            </w:r>
          </w:p>
        </w:tc>
        <w:tc>
          <w:tcPr>
            <w:tcW w:type="dxa" w:w="2200"/>
          </w:tcPr>
          <w:p>
            <w:r>
              <w:rPr>
                <w:color w:val="1B5E20"/>
                <w:sz w:val="20"/>
                <w:szCs w:val="20"/>
              </w:rPr>
              <w:t xml:space="preserve">[DERIVED]</w:t>
            </w:r>
          </w:p>
        </w:tc>
        <w:tc>
          <w:tcPr>
            <w:tcW w:type="dxa" w:w="4000"/>
          </w:tcPr>
          <w:p>
            <w:r>
              <w:rPr>
                <w:sz w:val="20"/>
                <w:szCs w:val="20"/>
              </w:rPr>
              <w:t xml:space="preserve">Strongest derivation in V4</w:t>
            </w:r>
          </w:p>
        </w:tc>
      </w:tr>
      <w:tr>
        <w:tc>
          <w:tcPr>
            <w:tcW w:type="dxa" w:w="2800"/>
          </w:tcPr>
          <w:p>
            <w:r>
              <w:rPr>
                <w:sz w:val="20"/>
                <w:szCs w:val="20"/>
              </w:rPr>
              <w:t xml:space="preserve">Grading + k-chain homogeneity</w:t>
            </w:r>
          </w:p>
        </w:tc>
        <w:tc>
          <w:tcPr>
            <w:tcW w:type="dxa" w:w="2200"/>
          </w:tcPr>
          <w:p>
            <w:r>
              <w:rPr>
                <w:color w:val="1B5E20"/>
                <w:sz w:val="20"/>
                <w:szCs w:val="20"/>
              </w:rPr>
              <w:t xml:space="preserve">[CO-DERIVED]</w:t>
            </w:r>
          </w:p>
        </w:tc>
        <w:tc>
          <w:tcPr>
            <w:tcW w:type="dxa" w:w="4000"/>
          </w:tcPr>
          <w:p>
            <w:r>
              <w:rPr>
                <w:sz w:val="20"/>
                <w:szCs w:val="20"/>
              </w:rPr>
              <w:t xml:space="preserve">Mutually constraining; co-emerge</w:t>
            </w:r>
          </w:p>
        </w:tc>
      </w:tr>
      <w:tr>
        <w:tc>
          <w:tcPr>
            <w:tcW w:type="dxa" w:w="2800"/>
          </w:tcPr>
          <w:p>
            <w:r>
              <w:rPr>
                <w:sz w:val="20"/>
                <w:szCs w:val="20"/>
              </w:rPr>
              <w:t xml:space="preserve">ρ &gt; 0</w:t>
            </w:r>
          </w:p>
        </w:tc>
        <w:tc>
          <w:tcPr>
            <w:tcW w:type="dxa" w:w="2200"/>
          </w:tcPr>
          <w:p>
            <w:r>
              <w:rPr>
                <w:color w:val="1B5E20"/>
                <w:sz w:val="20"/>
                <w:szCs w:val="20"/>
              </w:rPr>
              <w:t xml:space="preserve">[DERIVED]</w:t>
            </w:r>
          </w:p>
        </w:tc>
        <w:tc>
          <w:tcPr>
            <w:tcW w:type="dxa" w:w="4000"/>
          </w:tcPr>
          <w:p>
            <w:r>
              <w:rPr>
                <w:sz w:val="20"/>
                <w:szCs w:val="20"/>
              </w:rPr>
              <w:t xml:space="preserve">Full potential forbids empty order</w:t>
            </w:r>
          </w:p>
        </w:tc>
      </w:tr>
      <w:tr>
        <w:tc>
          <w:tcPr>
            <w:tcW w:type="dxa" w:w="2800"/>
          </w:tcPr>
          <w:p>
            <w:r>
              <w:rPr>
                <w:sz w:val="20"/>
                <w:szCs w:val="20"/>
              </w:rPr>
              <w:t xml:space="preserve">Poisson form N_k(τ)=(ρτ)^k/k!</w:t>
            </w:r>
          </w:p>
        </w:tc>
        <w:tc>
          <w:tcPr>
            <w:tcW w:type="dxa" w:w="2200"/>
          </w:tcPr>
          <w:p>
            <w:r>
              <w:rPr>
                <w:color w:val="1B5E20"/>
                <w:sz w:val="20"/>
                <w:szCs w:val="20"/>
              </w:rPr>
              <w:t xml:space="preserve">[DERIVED]</w:t>
            </w:r>
          </w:p>
        </w:tc>
        <w:tc>
          <w:tcPr>
            <w:tcW w:type="dxa" w:w="4000"/>
          </w:tcPr>
          <w:p>
            <w:r>
              <w:rPr>
                <w:sz w:val="20"/>
                <w:szCs w:val="20"/>
              </w:rPr>
              <w:t xml:space="preserve">Q4b sub-problem 2 closed. Circle broken.</w:t>
            </w:r>
          </w:p>
        </w:tc>
      </w:tr>
      <w:tr>
        <w:tc>
          <w:tcPr>
            <w:tcW w:type="dxa" w:w="2800"/>
          </w:tcPr>
          <w:p>
            <w:r>
              <w:rPr>
                <w:sz w:val="20"/>
                <w:szCs w:val="20"/>
              </w:rPr>
              <w:t xml:space="preserve">S = ρ·(exp(τ·exp(−β))−1)</w:t>
            </w:r>
          </w:p>
        </w:tc>
        <w:tc>
          <w:tcPr>
            <w:tcW w:type="dxa" w:w="2200"/>
          </w:tcPr>
          <w:p>
            <w:r>
              <w:rPr>
                <w:color w:val="1B5E20"/>
                <w:sz w:val="20"/>
                <w:szCs w:val="20"/>
              </w:rPr>
              <w:t xml:space="preserve">[DERIVED — fully V4-native]</w:t>
            </w:r>
          </w:p>
        </w:tc>
        <w:tc>
          <w:tcPr>
            <w:tcW w:type="dxa" w:w="4000"/>
          </w:tcPr>
          <w:p>
            <w:r>
              <w:rPr>
                <w:sz w:val="20"/>
                <w:szCs w:val="20"/>
              </w:rPr>
              <w:t xml:space="preserve">Both inputs derived. Continuum limit entry point.</w:t>
            </w:r>
          </w:p>
        </w:tc>
      </w:tr>
      <w:tr>
        <w:tc>
          <w:tcPr>
            <w:tcW w:type="dxa" w:w="2800"/>
          </w:tcPr>
          <w:p>
            <w:r>
              <w:rPr>
                <w:sz w:val="20"/>
                <w:szCs w:val="20"/>
              </w:rPr>
              <w:t xml:space="preserve">d = 4</w:t>
            </w:r>
          </w:p>
        </w:tc>
        <w:tc>
          <w:tcPr>
            <w:tcW w:type="dxa" w:w="2200"/>
          </w:tcPr>
          <w:p>
            <w:r>
              <w:rPr>
                <w:color w:val="1B5E20"/>
                <w:sz w:val="20"/>
                <w:szCs w:val="20"/>
              </w:rPr>
              <w:t xml:space="preserve">[DERIVED — fully closed]</w:t>
            </w:r>
          </w:p>
        </w:tc>
        <w:tc>
          <w:tcPr>
            <w:tcW w:type="dxa" w:w="4000"/>
          </w:tcPr>
          <w:p>
            <w:r>
              <w:rPr>
                <w:sz w:val="20"/>
                <w:szCs w:val="20"/>
              </w:rPr>
              <w:t xml:space="preserve">No remaining flags. 2-sphere vs two null dirs.</w:t>
            </w:r>
          </w:p>
        </w:tc>
      </w:tr>
      <w:tr>
        <w:tc>
          <w:tcPr>
            <w:tcW w:type="dxa" w:w="2800"/>
          </w:tcPr>
          <w:p>
            <w:r>
              <w:rPr>
                <w:sz w:val="20"/>
                <w:szCs w:val="20"/>
              </w:rPr>
              <w:t xml:space="preserve">β = Ω_past</w:t>
            </w:r>
          </w:p>
        </w:tc>
        <w:tc>
          <w:tcPr>
            <w:tcW w:type="dxa" w:w="2200"/>
          </w:tcPr>
          <w:p>
            <w:r>
              <w:rPr>
                <w:color w:val="1565C0"/>
                <w:sz w:val="20"/>
                <w:szCs w:val="20"/>
              </w:rPr>
              <w:t xml:space="preserve">[DERIVED — conditional]</w:t>
            </w:r>
          </w:p>
        </w:tc>
        <w:tc>
          <w:tcPr>
            <w:tcW w:type="dxa" w:w="4000"/>
          </w:tcPr>
          <w:p>
            <w:r>
              <w:rPr>
                <w:sz w:val="20"/>
                <w:szCs w:val="20"/>
              </w:rPr>
              <w:t xml:space="preserve">Ω_past not yet V4-internal; pending Q4b</w:t>
            </w:r>
          </w:p>
        </w:tc>
      </w:tr>
      <w:tr>
        <w:tc>
          <w:tcPr>
            <w:tcW w:type="dxa" w:w="2800"/>
          </w:tcPr>
          <w:p>
            <w:r>
              <w:rPr>
                <w:sz w:val="20"/>
                <w:szCs w:val="20"/>
              </w:rPr>
              <w:t xml:space="preserve">β = 2π</w:t>
            </w:r>
          </w:p>
        </w:tc>
        <w:tc>
          <w:tcPr>
            <w:tcW w:type="dxa" w:w="2200"/>
          </w:tcPr>
          <w:p>
            <w:r>
              <w:rPr>
                <w:color w:val="BA7517"/>
                <w:sz w:val="20"/>
                <w:szCs w:val="20"/>
              </w:rPr>
              <w:t xml:space="preserve">[OPEN — NEXT TARGET]</w:t>
            </w:r>
          </w:p>
        </w:tc>
        <w:tc>
          <w:tcPr>
            <w:tcW w:type="dxa" w:w="4000"/>
          </w:tcPr>
          <w:p>
            <w:r>
              <w:rPr>
                <w:sz w:val="20"/>
                <w:szCs w:val="20"/>
              </w:rPr>
              <w:t xml:space="preserve">Continuum limit of S without S² import</w:t>
            </w:r>
          </w:p>
        </w:tc>
      </w:tr>
      <w:tr>
        <w:tc>
          <w:tcPr>
            <w:tcW w:type="dxa" w:w="2800"/>
          </w:tcPr>
          <w:p>
            <w:r>
              <w:rPr>
                <w:sz w:val="20"/>
                <w:szCs w:val="20"/>
              </w:rPr>
              <w:t xml:space="preserve">Fix ρ</w:t>
            </w:r>
          </w:p>
        </w:tc>
        <w:tc>
          <w:tcPr>
            <w:tcW w:type="dxa" w:w="2200"/>
          </w:tcPr>
          <w:p>
            <w:r>
              <w:rPr>
                <w:color w:val="BA7517"/>
                <w:sz w:val="20"/>
                <w:szCs w:val="20"/>
              </w:rPr>
              <w:t xml:space="preserve">[OPEN]</w:t>
            </w:r>
          </w:p>
        </w:tc>
        <w:tc>
          <w:tcPr>
            <w:tcW w:type="dxa" w:w="4000"/>
          </w:tcPr>
          <w:p>
            <w:r>
              <w:rPr>
                <w:sz w:val="20"/>
                <w:szCs w:val="20"/>
              </w:rPr>
              <w:t xml:space="preserve">Gates on β = 2π</w:t>
            </w:r>
          </w:p>
        </w:tc>
      </w:tr>
      <w:tr>
        <w:tc>
          <w:tcPr>
            <w:tcW w:type="dxa" w:w="2800"/>
          </w:tcPr>
          <w:p>
            <w:r>
              <w:rPr>
                <w:sz w:val="20"/>
                <w:szCs w:val="20"/>
              </w:rPr>
              <w:t xml:space="preserve">Metric tensor recovery</w:t>
            </w:r>
          </w:p>
        </w:tc>
        <w:tc>
          <w:tcPr>
            <w:tcW w:type="dxa" w:w="2200"/>
          </w:tcPr>
          <w:p>
            <w:r>
              <w:rPr>
                <w:color w:val="BA7517"/>
                <w:sz w:val="20"/>
                <w:szCs w:val="20"/>
              </w:rPr>
              <w:t xml:space="preserve">[OPEN]</w:t>
            </w:r>
          </w:p>
        </w:tc>
        <w:tc>
          <w:tcPr>
            <w:tcW w:type="dxa" w:w="4000"/>
          </w:tcPr>
          <w:p>
            <w:r>
              <w:rPr>
                <w:sz w:val="20"/>
                <w:szCs w:val="20"/>
              </w:rPr>
              <w:t xml:space="preserve">Q4b sub-problem 3</w:t>
            </w:r>
          </w:p>
        </w:tc>
      </w:tr>
      <w:tr>
        <w:tc>
          <w:tcPr>
            <w:tcW w:type="dxa" w:w="2800"/>
          </w:tcPr>
          <w:p>
            <w:r>
              <w:rPr>
                <w:sz w:val="20"/>
                <w:szCs w:val="20"/>
              </w:rPr>
              <w:t xml:space="preserve">Hauptvermutung</w:t>
            </w:r>
          </w:p>
        </w:tc>
        <w:tc>
          <w:tcPr>
            <w:tcW w:type="dxa" w:w="2200"/>
          </w:tcPr>
          <w:p>
            <w:r>
              <w:rPr>
                <w:color w:val="BA7517"/>
                <w:sz w:val="20"/>
                <w:szCs w:val="20"/>
              </w:rPr>
              <w:t xml:space="preserve">[OPEN — parallel track]</w:t>
            </w:r>
          </w:p>
        </w:tc>
        <w:tc>
          <w:tcPr>
            <w:tcW w:type="dxa" w:w="4000"/>
          </w:tcPr>
          <w:p>
            <w:r>
              <w:rPr>
                <w:sz w:val="20"/>
                <w:szCs w:val="20"/>
              </w:rPr>
              <w:t xml:space="preserve">Homogeneity → Lorentzian embeddability</w:t>
            </w:r>
          </w:p>
        </w:tc>
      </w:tr>
      <w:tr>
        <w:tc>
          <w:tcPr>
            <w:tcW w:type="dxa" w:w="2800"/>
          </w:tcPr>
          <w:p>
            <w:r>
              <w:rPr>
                <w:sz w:val="20"/>
                <w:szCs w:val="20"/>
              </w:rPr>
              <w:t xml:space="preserve">Four forces</w:t>
            </w:r>
          </w:p>
        </w:tc>
        <w:tc>
          <w:tcPr>
            <w:tcW w:type="dxa" w:w="2200"/>
          </w:tcPr>
          <w:p>
            <w:r>
              <w:rPr>
                <w:color w:val="888780"/>
                <w:sz w:val="20"/>
                <w:szCs w:val="20"/>
              </w:rPr>
              <w:t xml:space="preserve">[IDENTIFIED/SPECULATIVE]</w:t>
            </w:r>
          </w:p>
        </w:tc>
        <w:tc>
          <w:tcPr>
            <w:tcW w:type="dxa" w:w="4000"/>
          </w:tcPr>
          <w:p>
            <w:r>
              <w:rPr>
                <w:sz w:val="20"/>
                <w:szCs w:val="20"/>
              </w:rPr>
              <w:t xml:space="preserve">Gravity strongest; weak/strong most distant</w:t>
            </w:r>
          </w:p>
        </w:tc>
      </w:tr>
      <w:tr>
        <w:tc>
          <w:tcPr>
            <w:tcW w:type="dxa" w:w="2800"/>
          </w:tcPr>
          <w:p>
            <w:r>
              <w:rPr>
                <w:sz w:val="20"/>
                <w:szCs w:val="20"/>
              </w:rPr>
              <w:t xml:space="preserve">Quantum/dynamical aspects</w:t>
            </w:r>
          </w:p>
        </w:tc>
        <w:tc>
          <w:tcPr>
            <w:tcW w:type="dxa" w:w="2200"/>
          </w:tcPr>
          <w:p>
            <w:r>
              <w:rPr>
                <w:color w:val="888780"/>
                <w:sz w:val="20"/>
                <w:szCs w:val="20"/>
              </w:rPr>
              <w:t xml:space="preserve">[ABSENT — future]</w:t>
            </w:r>
          </w:p>
        </w:tc>
        <w:tc>
          <w:tcPr>
            <w:tcW w:type="dxa" w:w="4000"/>
          </w:tcPr>
          <w:p>
            <w:r>
              <w:rPr>
                <w:sz w:val="20"/>
                <w:szCs w:val="20"/>
              </w:rPr>
              <w:t xml:space="preserve">Downstream of Q4 closure</w:t>
            </w:r>
          </w:p>
        </w:tc>
      </w:tr>
    </w:tbl>
    <w:p>
      <w:pPr>
        <w:pStyle w:val="Heading1"/>
        <w:spacing w:after="120" w:before="300"/>
      </w:pPr>
      <w:r>
        <w:t xml:space="preserve">5. The Next Derivation Target</w:t>
      </w:r>
    </w:p>
    <w:p>
      <w:pPr>
        <w:spacing w:after="160"/>
        <w:jc w:val="center"/>
      </w:pPr>
      <w:r>
        <w:rPr>
          <w:b/>
          <w:bCs/>
          <w:sz w:val="26"/>
          <w:szCs w:val="26"/>
        </w:rPr>
        <w:t xml:space="preserve">Derive β = 2π from the continuum limit of S without importing S² solid angle geometry.</w:t>
      </w:r>
    </w:p>
    <w:p>
      <w:pPr>
        <w:spacing w:after="80"/>
      </w:pPr>
      <w:r>
        <w:rPr>
          <w:sz w:val="24"/>
          <w:szCs w:val="24"/>
        </w:rPr>
        <w:t xml:space="preserve">S = ρ·(exp(τ·exp(−β)) − 1) is fully V4-native. Taylor expansion at small τ:</w:t>
      </w:r>
    </w:p>
    <w:p>
      <w:pPr>
        <w:spacing w:after="80"/>
        <w:jc w:val="center"/>
      </w:pPr>
      <w:r>
        <w:rPr>
          <w:b/>
          <w:bCs/>
          <w:sz w:val="24"/>
          <w:szCs w:val="24"/>
        </w:rPr>
        <w:t xml:space="preserve">S = ρτ·e^{−β} + ρτ²·e^{−2β}/2 + ρτ³·e^{−3β}/6 + ρτ⁴·e^{−4β}/24 + ...</w:t>
      </w:r>
    </w:p>
    <w:p>
      <w:pPr>
        <w:spacing w:after="120"/>
      </w:pPr>
      <w:r>
        <w:rPr>
          <w:sz w:val="24"/>
          <w:szCs w:val="24"/>
        </w:rPr>
        <w:t xml:space="preserve">The τ⁴ term is load-bearing at d=4. Its coefficient is ρ·exp(−4β)/24. This must equal the geometric coefficient of the Lorentzian causal interval 4-volume derived from V4 primitives alone. If that coefficient can be fixed from discrete structure, solving ρ·exp(−4β)/24 = [V4-derived coeff] gives β — which V4 predicts is 2π.</w:t>
      </w:r>
    </w:p>
    <w:p>
      <w:pPr>
        <w:spacing w:after="200"/>
      </w:pPr>
      <w:r>
        <w:rPr>
          <w:b/>
          <w:bCs/>
          <w:color w:val="BA7517"/>
          <w:sz w:val="24"/>
          <w:szCs w:val="24"/>
        </w:rPr>
        <w:t xml:space="preserve">Critical discipline flag: </w:t>
      </w:r>
      <w:r>
        <w:rPr>
          <w:color w:val="BA7517"/>
          <w:sz w:val="24"/>
          <w:szCs w:val="24"/>
        </w:rPr>
        <w:t xml:space="preserve">S is monotonically decreasing in β — it has no special feature at β = 2π from functional form alone. The geometry must come from the discrete order structure. Any reach for solid-angle geometry or Lorentzian volume formulas must be stopped and flagged immediately.</w:t>
      </w:r>
    </w:p>
    <w:p>
      <w:pPr>
        <w:pStyle w:val="Heading1"/>
        <w:spacing w:after="120" w:before="200"/>
      </w:pPr>
      <w:r>
        <w:t xml:space="preserve">6. External Review Summary</w:t>
      </w:r>
    </w:p>
    <w:p>
      <w:pPr>
        <w:spacing w:after="80"/>
      </w:pPr>
      <w:r>
        <w:rPr>
          <w:sz w:val="24"/>
          <w:szCs w:val="24"/>
        </w:rPr>
        <w:t xml:space="preserve">Two Grok expert reviews completed June 22, 2026. Both incorporated into Part 4 of master document.</w:t>
      </w:r>
    </w:p>
    <w:p>
      <w:pPr>
        <w:spacing w:after="80"/>
      </w:pPr>
      <w:r>
        <w:rPr>
          <w:b/>
          <w:bCs/>
          <w:sz w:val="24"/>
          <w:szCs w:val="24"/>
        </w:rPr>
        <w:t xml:space="preserve">First review (after Repairs 1-2): </w:t>
      </w:r>
      <w:r>
        <w:rPr>
          <w:sz w:val="24"/>
          <w:szCs w:val="24"/>
        </w:rPr>
        <w:t xml:space="preserve">"Among the more coherent and self-critical foundational programs in this style." K-chain homogeneity and Poisson form confirmed as genuine combinatorial results. D=2 flag noted. CST literature contribution opportunity identified.</w:t>
      </w:r>
    </w:p>
    <w:p>
      <w:pPr>
        <w:spacing w:after="80"/>
      </w:pPr>
      <w:r>
        <w:rPr>
          <w:b/>
          <w:bCs/>
          <w:sz w:val="24"/>
          <w:szCs w:val="24"/>
        </w:rPr>
        <w:t xml:space="preserve">Second review (after all repairs): </w:t>
      </w:r>
      <w:r>
        <w:rPr>
          <w:sz w:val="24"/>
          <w:szCs w:val="24"/>
        </w:rPr>
        <w:t xml:space="preserve">"Foundation genuinely clean. Layer 2 fully closed. Tighter, more honest, and better documented." The cosmos remembers because memory (the kernel gradient along chains) is fundamental to how the inside observer knows its own position and history.</w:t>
      </w:r>
    </w:p>
    <w:p>
      <w:pPr>
        <w:spacing w:after="200"/>
      </w:pPr>
      <w:r>
        <w:rPr>
          <w:sz w:val="24"/>
          <w:szCs w:val="24"/>
        </w:rPr>
        <w:t xml:space="preserve">Both reviewers confirmed Q4b as the make-or-break gate, held speculative results firmly at their prior status, and did not upgrade downstream results on the basis of foundation repairs. That restraint is correct and should be maintained.</w:t>
      </w:r>
    </w:p>
    <w:p>
      <w:pPr>
        <w:pStyle w:val="Heading1"/>
        <w:spacing w:after="120" w:before="200"/>
      </w:pPr>
      <w:r>
        <w:t xml:space="preserve">7. Open Problems in Priority Order</w:t>
      </w:r>
    </w:p>
    <w:p>
      <w:pPr>
        <w:spacing w:after="80"/>
      </w:pPr>
      <w:r>
        <w:rPr>
          <w:b/>
          <w:bCs/>
          <w:sz w:val="24"/>
          <w:szCs w:val="24"/>
        </w:rPr>
        <w:t xml:space="preserve">[IMMEDIATE — next session] </w:t>
      </w:r>
      <w:r>
        <w:rPr>
          <w:sz w:val="24"/>
          <w:szCs w:val="24"/>
        </w:rPr>
        <w:t xml:space="preserve">β = 2π from continuum limit of S without S² import. Make-or-break gate.</w:t>
      </w:r>
    </w:p>
    <w:p>
      <w:pPr>
        <w:spacing w:after="80"/>
      </w:pPr>
      <w:r>
        <w:rPr>
          <w:b/>
          <w:bCs/>
          <w:sz w:val="24"/>
          <w:szCs w:val="24"/>
        </w:rPr>
        <w:t xml:space="preserve">[AFTER β=2π] </w:t>
      </w:r>
      <w:r>
        <w:rPr>
          <w:sz w:val="24"/>
          <w:szCs w:val="24"/>
        </w:rPr>
        <w:t xml:space="preserve">Fix ρ from V4 primitives (Q4b sub-problem 1).</w:t>
      </w:r>
    </w:p>
    <w:p>
      <w:pPr>
        <w:spacing w:after="80"/>
      </w:pPr>
      <w:r>
        <w:rPr>
          <w:b/>
          <w:bCs/>
          <w:sz w:val="24"/>
          <w:szCs w:val="24"/>
        </w:rPr>
        <w:t xml:space="preserve">[AFTER ρ fixed] </w:t>
      </w:r>
      <w:r>
        <w:rPr>
          <w:sz w:val="24"/>
          <w:szCs w:val="24"/>
        </w:rPr>
        <w:t xml:space="preserve">Recover full Lorentzian metric tensor from S (Q4b sub-problem 3).</w:t>
      </w:r>
    </w:p>
    <w:p>
      <w:pPr>
        <w:spacing w:after="80"/>
      </w:pPr>
      <w:r>
        <w:rPr>
          <w:b/>
          <w:bCs/>
          <w:sz w:val="24"/>
          <w:szCs w:val="24"/>
        </w:rPr>
        <w:t xml:space="preserve">[PARALLEL TRACK] </w:t>
      </w:r>
      <w:r>
        <w:rPr>
          <w:sz w:val="24"/>
          <w:szCs w:val="24"/>
        </w:rPr>
        <w:t xml:space="preserve">Hauptvermutung: k-chain homogeneity → faithful Lorentzian embeddability.</w:t>
      </w:r>
    </w:p>
    <w:p>
      <w:pPr>
        <w:spacing w:after="80"/>
      </w:pPr>
      <w:r>
        <w:rPr>
          <w:b/>
          <w:bCs/>
          <w:sz w:val="24"/>
          <w:szCs w:val="24"/>
        </w:rPr>
        <w:t xml:space="preserve">[PARALLEL TRACK] </w:t>
      </w:r>
      <w:r>
        <w:rPr>
          <w:sz w:val="24"/>
          <w:szCs w:val="24"/>
        </w:rPr>
        <w:t xml:space="preserve">Formalize co-derivation of grading and k-chain homogeneity as standalone theorem.</w:t>
      </w:r>
    </w:p>
    <w:p>
      <w:pPr>
        <w:spacing w:after="80"/>
      </w:pPr>
      <w:r>
        <w:rPr>
          <w:b/>
          <w:bCs/>
          <w:sz w:val="24"/>
          <w:szCs w:val="24"/>
        </w:rPr>
        <w:t xml:space="preserve">[PARALLEL TRACK] </w:t>
      </w:r>
      <w:r>
        <w:rPr>
          <w:sz w:val="24"/>
          <w:szCs w:val="24"/>
        </w:rPr>
        <w:t xml:space="preserve">Sharpen d=2 exclusion: formalize "non-trivial spatial relational potential" comparison precisely.</w:t>
      </w:r>
    </w:p>
    <w:p>
      <w:pPr>
        <w:spacing w:after="80"/>
      </w:pPr>
      <w:r>
        <w:rPr>
          <w:b/>
          <w:bCs/>
          <w:sz w:val="24"/>
          <w:szCs w:val="24"/>
        </w:rPr>
        <w:t xml:space="preserve">[FUTURE] </w:t>
      </w:r>
      <w:r>
        <w:rPr>
          <w:sz w:val="24"/>
          <w:szCs w:val="24"/>
        </w:rPr>
        <w:t xml:space="preserve">Quantum and dynamical aspects. Downstream of Q4 closure.</w:t>
      </w:r>
    </w:p>
    <w:p>
      <w:pPr>
        <w:spacing w:after="80"/>
      </w:pPr>
      <w:r>
        <w:rPr>
          <w:b/>
          <w:bCs/>
          <w:sz w:val="24"/>
          <w:szCs w:val="24"/>
        </w:rPr>
        <w:t xml:space="preserve">[FUTURE] </w:t>
      </w:r>
      <w:r>
        <w:rPr>
          <w:sz w:val="24"/>
          <w:szCs w:val="24"/>
        </w:rPr>
        <w:t xml:space="preserve">CST community engagement: Poisson + homogeneity results as standalone contribution.</w:t>
      </w:r>
    </w:p>
    <w:p>
      <w:pPr>
        <w:pBdr>
          <w:top w:val="single" w:color="CCCCCC" w:sz="1"/>
        </w:pBdr>
        <w:spacing w:after="0" w:before="300"/>
        <w:jc w:val="center"/>
      </w:pPr>
      <w:r>
        <w:rPr>
          <w:color w:val="999999"/>
          <w:sz w:val="20"/>
          <w:szCs w:val="20"/>
        </w:rPr>
        <w:t xml:space="preserve">V4 Vision 17 Truly Final · June 22, 2026 · Earl Treloar · Logosfield / ODCCT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2026-07-09T02:23:31.227Z</dcterms:created>
  <dcterms:modified xsi:type="dcterms:W3CDTF">2026-07-09T02:23:31.244Z</dcterms:modified>
</cp:coreProperties>
</file>

<file path=docProps/custom.xml><?xml version="1.0" encoding="utf-8"?>
<Properties xmlns="http://schemas.openxmlformats.org/officeDocument/2006/custom-properties" xmlns:vt="http://schemas.openxmlformats.org/officeDocument/2006/docPropsVTypes"/>
</file>