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Logosfield V4 — Session Handoff</w:t>
      </w:r>
    </w:p>
    <w:p>
      <w:pPr>
        <w:spacing w:after="80"/>
        <w:jc w:val="center"/>
      </w:pPr>
      <w:r>
        <w:rPr>
          <w:i/>
          <w:iCs/>
          <w:color w:val="666666"/>
          <w:sz w:val="22"/>
          <w:szCs w:val="22"/>
        </w:rPr>
        <w:t xml:space="preserve">Upload this + Logosfield_V4_Session2_Final.docx to start next session</w:t>
      </w:r>
    </w:p>
    <w:p>
      <w:pPr>
        <w:spacing w:after="160"/>
        <w:jc w:val="center"/>
      </w:pPr>
      <w:r>
        <w:rPr>
          <w:color w:val="666666"/>
          <w:sz w:val="20"/>
          <w:szCs w:val="20"/>
        </w:rPr>
        <w:t xml:space="preserve">Earl Treloar · V4 Session 2 Final · June 22, 2026</w:t>
      </w:r>
    </w:p>
    <w:p>
      <w:pPr>
        <w:pBdr>
          <w:top w:val="single" w:color="1B5E20" w:sz="4"/>
          <w:bottom w:val="single" w:color="1B5E20" w:sz="4"/>
        </w:pBdr>
        <w:spacing w:after="80"/>
        <w:jc w:val="center"/>
      </w:pPr>
      <w:r>
        <w:rPr>
          <w:b/>
          <w:bCs/>
          <w:color w:val="1B5E20"/>
          <w:sz w:val="24"/>
          <w:szCs w:val="24"/>
        </w:rPr>
        <w:t xml:space="preserve">HAUPTVERMUTUNG IS THE PRIMARY GATE. PATH TO β=2π GOES THROUGH IT, NOT AROUND IT.</w:t>
      </w:r>
    </w:p>
    <w:p>
      <w:pPr>
        <w:spacing w:after="280"/>
        <w:jc w:val="center"/>
      </w:pPr>
      <w:r>
        <w:rPr>
          <w:i/>
          <w:iCs/>
          <w:color w:val="444441"/>
          <w:sz w:val="20"/>
          <w:szCs w:val="20"/>
        </w:rPr>
        <w:t xml:space="preserve">This was the key clarification from Session 2. All paths to fixing β independently failed. The Hauptvermutung is not a parallel track — it is the gate.</w:t>
      </w:r>
    </w:p>
    <w:p>
      <w:pPr>
        <w:pStyle w:val="Heading1"/>
        <w:spacing w:after="100" w:before="200"/>
      </w:pPr>
      <w:r>
        <w:t xml:space="preserve">1. Opening Protocol</w:t>
      </w:r>
    </w:p>
    <w:p>
      <w:pPr>
        <w:spacing w:after="200"/>
      </w:pPr>
      <w:r>
        <w:rPr>
          <w:b/>
          <w:bCs/>
          <w:sz w:val="24"/>
          <w:szCs w:val="24"/>
        </w:rPr>
        <w:t xml:space="preserve">Say to Claude: </w:t>
      </w:r>
      <w:r>
        <w:rPr>
          <w:i/>
          <w:iCs/>
          <w:sz w:val="24"/>
          <w:szCs w:val="24"/>
        </w:rPr>
        <w:t xml:space="preserve">"Read Sections 2.0, 2.5, 2.7, 2.7b, Part 4, Part 5 (all subsections) completely. Carry the V4 discipline line — no SM, GR, or continuum geometry before derived. The Hauptvermutung is now the primary gate. The next target is establishing a V4-internal proof strategy for the Hauptvermutung: that the d=4 Poisson-distributed order with k-chain homogeneity faithfully embeds in Lorentzian spacetime."</w:t>
      </w:r>
    </w:p>
    <w:p>
      <w:pPr>
        <w:pStyle w:val="Heading1"/>
        <w:spacing w:after="100" w:before="200"/>
      </w:pPr>
      <w:r>
        <w:t xml:space="preserve">2. What Session 2 Established</w:t>
      </w:r>
    </w:p>
    <w:p>
      <w:pPr>
        <w:spacing w:after="120"/>
      </w:pPr>
      <w:r>
        <w:rPr>
          <w:b/>
          <w:bCs/>
          <w:sz w:val="24"/>
          <w:szCs w:val="24"/>
        </w:rPr>
        <w:t xml:space="preserve">Algebraic identity [IDENTIFIED]: </w:t>
      </w:r>
      <w:r>
        <w:rPr>
          <w:sz w:val="24"/>
          <w:szCs w:val="24"/>
        </w:rPr>
        <w:t xml:space="preserve">C₄·exp(−4β) = u³(1−u)⁴/(1+4u+u²) = deficit ratio. Exact. The τ⁴ geometric coefficient of S and the deficit ratio from the baryon observation are the same V4-internal object. Not two separate quantities.</w:t>
      </w:r>
    </w:p>
    <w:p>
      <w:pPr>
        <w:spacing w:after="120"/>
      </w:pPr>
      <w:r>
        <w:rPr>
          <w:b/>
          <w:bCs/>
          <w:sz w:val="24"/>
          <w:szCs w:val="24"/>
        </w:rPr>
        <w:t xml:space="preserve">Geometric/baryon tension [OPEN]: </w:t>
      </w:r>
      <w:r>
        <w:rPr>
          <w:sz w:val="24"/>
          <w:szCs w:val="24"/>
        </w:rPr>
        <w:t xml:space="preserve">For Lorentzian geometry recovery: C₄·exp(−4β) must equal π ≈ 3.14. For baryon asymmetry: C₄·exp(−4β) must equal η ≈ 6.1×10⁻¹⁰. These cannot both be satisfied at the same β. The tension is a structural finding, not an error. Cannot be resolved without the Hauptvermutung.</w:t>
      </w:r>
    </w:p>
    <w:p>
      <w:pPr>
        <w:spacing w:after="120"/>
      </w:pPr>
      <w:r>
        <w:rPr>
          <w:b/>
          <w:bCs/>
          <w:sz w:val="24"/>
          <w:szCs w:val="24"/>
        </w:rPr>
        <w:t xml:space="preserve">Hauptvermutung confirmed as primary gate: </w:t>
      </w:r>
      <w:r>
        <w:rPr>
          <w:sz w:val="24"/>
          <w:szCs w:val="24"/>
        </w:rPr>
        <w:t xml:space="preserve">Every path to fixing β independently produces τ-dependent relationships or coupled (β, C₄) equations. β cannot be fixed without simultaneously fixing the continuum geometry coefficient. That coefficient cannot be fixed from discrete structure alone without the Hauptvermutung. The bridge formula may be the Hauptvermutung proof itself.</w:t>
      </w:r>
    </w:p>
    <w:p>
      <w:pPr>
        <w:spacing w:after="200"/>
      </w:pPr>
      <w:r>
        <w:rPr>
          <w:b/>
          <w:bCs/>
          <w:sz w:val="24"/>
          <w:szCs w:val="24"/>
        </w:rPr>
        <w:t xml:space="preserve">Discipline self-correction [DOCUMENTED]: </w:t>
      </w:r>
      <w:r>
        <w:rPr>
          <w:sz w:val="24"/>
          <w:szCs w:val="24"/>
        </w:rPr>
        <w:t xml:space="preserve">Session caught itself pattern-matching on β ≈ √50 before having a derivation. Corrected before overclaiming. The correct order is: derive β from V4 primitives, then compare deficit ratio to η. Not reverse-engineer β from η.</w:t>
      </w:r>
    </w:p>
    <w:p>
      <w:pPr>
        <w:pStyle w:val="Heading1"/>
        <w:spacing w:after="120" w:before="200"/>
      </w:pPr>
      <w:r>
        <w:t xml:space="preserve">3. Path Status — Complete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tcPr>
          <w:p>
            <w:r>
              <w:rPr>
                <w:b/>
                <w:bCs/>
                <w:sz w:val="20"/>
                <w:szCs w:val="20"/>
              </w:rPr>
              <w:t xml:space="preserve">Path</w:t>
            </w:r>
          </w:p>
        </w:tc>
        <w:tc>
          <w:tcPr>
            <w:tcW w:type="dxa" w:w="2400"/>
          </w:tcPr>
          <w:p>
            <w:r>
              <w:rPr>
                <w:b/>
                <w:bCs/>
                <w:sz w:val="20"/>
                <w:szCs w:val="20"/>
              </w:rPr>
              <w:t xml:space="preserve">Description</w:t>
            </w:r>
          </w:p>
        </w:tc>
        <w:tc>
          <w:tcPr>
            <w:tcW w:type="dxa" w:w="5700"/>
          </w:tcPr>
          <w:p>
            <w:r>
              <w:rPr>
                <w:b/>
                <w:bCs/>
                <w:sz w:val="20"/>
                <w:szCs w:val="20"/>
              </w:rPr>
              <w:t xml:space="preserve">Result</w:t>
            </w:r>
          </w:p>
        </w:tc>
      </w:tr>
      <w:tr>
        <w:tc>
          <w:tcPr>
            <w:tcW w:type="dxa" w:w="900"/>
          </w:tcPr>
          <w:p>
            <w:r>
              <w:rPr>
                <w:sz w:val="20"/>
                <w:szCs w:val="20"/>
              </w:rPr>
              <w:t xml:space="preserve">A</w:t>
            </w:r>
          </w:p>
        </w:tc>
        <w:tc>
          <w:tcPr>
            <w:tcW w:type="dxa" w:w="2400"/>
          </w:tcPr>
          <w:p>
            <w:r>
              <w:rPr>
                <w:sz w:val="20"/>
                <w:szCs w:val="20"/>
              </w:rPr>
              <w:t xml:space="preserve">Discrete null solid angle</w:t>
            </w:r>
          </w:p>
        </w:tc>
        <w:tc>
          <w:tcPr>
            <w:tcW w:type="dxa" w:w="5700"/>
          </w:tcPr>
          <w:p>
            <w:r>
              <w:rPr>
                <w:sz w:val="20"/>
                <w:szCs w:val="20"/>
              </w:rPr>
              <w:t xml:space="preserve">[OPEN] Hard frontier. New math needed. Not blocked.</w:t>
            </w:r>
          </w:p>
        </w:tc>
      </w:tr>
      <w:tr>
        <w:tc>
          <w:tcPr>
            <w:tcW w:type="dxa" w:w="900"/>
          </w:tcPr>
          <w:p>
            <w:r>
              <w:rPr>
                <w:sz w:val="20"/>
                <w:szCs w:val="20"/>
              </w:rPr>
              <w:t xml:space="preserve">B</w:t>
            </w:r>
          </w:p>
        </w:tc>
        <w:tc>
          <w:tcPr>
            <w:tcW w:type="dxa" w:w="2400"/>
          </w:tcPr>
          <w:p>
            <w:r>
              <w:rPr>
                <w:sz w:val="20"/>
                <w:szCs w:val="20"/>
              </w:rPr>
              <w:t xml:space="preserve">Self-registration fixed point</w:t>
            </w:r>
          </w:p>
        </w:tc>
        <w:tc>
          <w:tcPr>
            <w:tcW w:type="dxa" w:w="5700"/>
          </w:tcPr>
          <w:p>
            <w:r>
              <w:rPr>
                <w:sz w:val="20"/>
                <w:szCs w:val="20"/>
              </w:rPr>
              <w:t xml:space="preserve">[IDENTIFIED] Confirmed coupling equation C₄(β). One open slot.</w:t>
            </w:r>
          </w:p>
        </w:tc>
      </w:tr>
      <w:tr>
        <w:tc>
          <w:tcPr>
            <w:tcW w:type="dxa" w:w="900"/>
          </w:tcPr>
          <w:p>
            <w:r>
              <w:rPr>
                <w:sz w:val="20"/>
                <w:szCs w:val="20"/>
              </w:rPr>
              <w:t xml:space="preserve">C</w:t>
            </w:r>
          </w:p>
        </w:tc>
        <w:tc>
          <w:tcPr>
            <w:tcW w:type="dxa" w:w="2400"/>
          </w:tcPr>
          <w:p>
            <w:r>
              <w:rPr>
                <w:sz w:val="20"/>
                <w:szCs w:val="20"/>
              </w:rPr>
              <w:t xml:space="preserve">Iteration convergence</w:t>
            </w:r>
          </w:p>
        </w:tc>
        <w:tc>
          <w:tcPr>
            <w:tcW w:type="dxa" w:w="5700"/>
          </w:tcPr>
          <w:p>
            <w:r>
              <w:rPr>
                <w:sz w:val="20"/>
                <w:szCs w:val="20"/>
              </w:rPr>
              <w:t xml:space="preserve">[NEEDS REFINEMENT] Geometric mean inconsistent with B.</w:t>
            </w:r>
          </w:p>
        </w:tc>
      </w:tr>
      <w:tr>
        <w:tc>
          <w:tcPr>
            <w:tcW w:type="dxa" w:w="900"/>
          </w:tcPr>
          <w:p>
            <w:r>
              <w:rPr>
                <w:sz w:val="20"/>
                <w:szCs w:val="20"/>
              </w:rPr>
              <w:t xml:space="preserve">D</w:t>
            </w:r>
          </w:p>
        </w:tc>
        <w:tc>
          <w:tcPr>
            <w:tcW w:type="dxa" w:w="2400"/>
          </w:tcPr>
          <w:p>
            <w:r>
              <w:rPr>
                <w:sz w:val="20"/>
                <w:szCs w:val="20"/>
              </w:rPr>
              <w:t xml:space="preserve">Covering relation geometry</w:t>
            </w:r>
          </w:p>
        </w:tc>
        <w:tc>
          <w:tcPr>
            <w:tcW w:type="dxa" w:w="5700"/>
          </w:tcPr>
          <w:p>
            <w:r>
              <w:rPr>
                <w:sz w:val="20"/>
                <w:szCs w:val="20"/>
              </w:rPr>
              <w:t xml:space="preserve">[OPEN — parallel to A]</w:t>
            </w:r>
          </w:p>
        </w:tc>
      </w:tr>
      <w:tr>
        <w:tc>
          <w:tcPr>
            <w:tcW w:type="dxa" w:w="900"/>
          </w:tcPr>
          <w:p>
            <w:r>
              <w:rPr>
                <w:sz w:val="20"/>
                <w:szCs w:val="20"/>
              </w:rPr>
              <w:t xml:space="preserve">E</w:t>
            </w:r>
          </w:p>
        </w:tc>
        <w:tc>
          <w:tcPr>
            <w:tcW w:type="dxa" w:w="2400"/>
          </w:tcPr>
          <w:p>
            <w:r>
              <w:rPr>
                <w:sz w:val="20"/>
                <w:szCs w:val="20"/>
              </w:rPr>
              <w:t xml:space="preserve">Spectral condition</w:t>
            </w:r>
          </w:p>
        </w:tc>
        <w:tc>
          <w:tcPr>
            <w:tcW w:type="dxa" w:w="5700"/>
          </w:tcPr>
          <w:p>
            <w:r>
              <w:rPr>
                <w:sz w:val="20"/>
                <w:szCs w:val="20"/>
              </w:rPr>
              <w:t xml:space="preserve">[RULED OUT] 2πi period does not derive Re(β)=2π.</w:t>
            </w:r>
          </w:p>
        </w:tc>
      </w:tr>
      <w:tr>
        <w:tc>
          <w:tcPr>
            <w:tcW w:type="dxa" w:w="900"/>
          </w:tcPr>
          <w:p>
            <w:r>
              <w:rPr>
                <w:sz w:val="20"/>
                <w:szCs w:val="20"/>
              </w:rPr>
              <w:t xml:space="preserve">F</w:t>
            </w:r>
          </w:p>
        </w:tc>
        <w:tc>
          <w:tcPr>
            <w:tcW w:type="dxa" w:w="2400"/>
          </w:tcPr>
          <w:p>
            <w:r>
              <w:rPr>
                <w:sz w:val="20"/>
                <w:szCs w:val="20"/>
              </w:rPr>
              <w:t xml:space="preserve">Unruh consistency internal</w:t>
            </w:r>
          </w:p>
        </w:tc>
        <w:tc>
          <w:tcPr>
            <w:tcW w:type="dxa" w:w="5700"/>
          </w:tcPr>
          <w:p>
            <w:r>
              <w:rPr>
                <w:sz w:val="20"/>
                <w:szCs w:val="20"/>
              </w:rPr>
              <w:t xml:space="preserve">[ATTEMPTED] β·exp(−β)=1/(2π) gives β≈2.904, not 2π.</w:t>
            </w:r>
          </w:p>
        </w:tc>
      </w:tr>
      <w:tr>
        <w:tc>
          <w:tcPr>
            <w:tcW w:type="dxa" w:w="900"/>
          </w:tcPr>
          <w:p>
            <w:r>
              <w:rPr>
                <w:sz w:val="20"/>
                <w:szCs w:val="20"/>
              </w:rPr>
              <w:t xml:space="preserve">G</w:t>
            </w:r>
          </w:p>
        </w:tc>
        <w:tc>
          <w:tcPr>
            <w:tcW w:type="dxa" w:w="2400"/>
          </w:tcPr>
          <w:p>
            <w:r>
              <w:rPr>
                <w:sz w:val="20"/>
                <w:szCs w:val="20"/>
              </w:rPr>
              <w:t xml:space="preserve">Causal Green's function</w:t>
            </w:r>
          </w:p>
        </w:tc>
        <w:tc>
          <w:tcPr>
            <w:tcW w:type="dxa" w:w="5700"/>
          </w:tcPr>
          <w:p>
            <w:r>
              <w:rPr>
                <w:sz w:val="20"/>
                <w:szCs w:val="20"/>
              </w:rPr>
              <w:t xml:space="preserve">[OPEN — high import risk]</w:t>
            </w:r>
          </w:p>
        </w:tc>
      </w:tr>
      <w:tr>
        <w:tc>
          <w:tcPr>
            <w:tcW w:type="dxa" w:w="900"/>
          </w:tcPr>
          <w:p>
            <w:r>
              <w:rPr>
                <w:sz w:val="20"/>
                <w:szCs w:val="20"/>
              </w:rPr>
              <w:t xml:space="preserve">H</w:t>
            </w:r>
          </w:p>
        </w:tc>
        <w:tc>
          <w:tcPr>
            <w:tcW w:type="dxa" w:w="2400"/>
          </w:tcPr>
          <w:p>
            <w:r>
              <w:rPr>
                <w:sz w:val="20"/>
                <w:szCs w:val="20"/>
              </w:rPr>
              <w:t xml:space="preserve">Maximum entropy</w:t>
            </w:r>
          </w:p>
        </w:tc>
        <w:tc>
          <w:tcPr>
            <w:tcW w:type="dxa" w:w="5700"/>
          </w:tcPr>
          <w:p>
            <w:r>
              <w:rPr>
                <w:sz w:val="20"/>
                <w:szCs w:val="20"/>
              </w:rPr>
              <w:t xml:space="preserve">[ATTEMPTED] Produces τ-dependent conditions, not universal β.</w:t>
            </w:r>
          </w:p>
        </w:tc>
      </w:tr>
      <w:tr>
        <w:tc>
          <w:tcPr>
            <w:tcW w:type="dxa" w:w="900"/>
          </w:tcPr>
          <w:p>
            <w:r>
              <w:rPr>
                <w:sz w:val="20"/>
                <w:szCs w:val="20"/>
              </w:rPr>
              <w:t xml:space="preserve">Haupt-</w:t>
            </w:r>
          </w:p>
        </w:tc>
        <w:tc>
          <w:tcPr>
            <w:tcW w:type="dxa" w:w="2400"/>
          </w:tcPr>
          <w:p>
            <w:r>
              <w:rPr>
                <w:sz w:val="20"/>
                <w:szCs w:val="20"/>
              </w:rPr>
              <w:t xml:space="preserve">vermutung</w:t>
            </w:r>
          </w:p>
        </w:tc>
        <w:tc>
          <w:tcPr>
            <w:tcW w:type="dxa" w:w="5700"/>
          </w:tcPr>
          <w:p>
            <w:r>
              <w:rPr>
                <w:sz w:val="20"/>
                <w:szCs w:val="20"/>
              </w:rPr>
              <w:t xml:space="preserve">[PRIMARY GATE] Faithful Lorentzian embedding. β cannot be derived without this.</w:t>
            </w:r>
          </w:p>
        </w:tc>
      </w:tr>
    </w:tbl>
    <w:p>
      <w:pPr>
        <w:pStyle w:val="Heading1"/>
        <w:spacing w:after="120" w:before="280"/>
      </w:pPr>
      <w:r>
        <w:t xml:space="preserve">4. The Next Session Target</w:t>
      </w:r>
    </w:p>
    <w:p>
      <w:pPr>
        <w:spacing w:after="160"/>
        <w:jc w:val="center"/>
      </w:pPr>
      <w:r>
        <w:rPr>
          <w:b/>
          <w:bCs/>
          <w:sz w:val="26"/>
          <w:szCs w:val="26"/>
        </w:rPr>
        <w:t xml:space="preserve">Develop a V4-internal proof strategy for the Hauptvermutung.</w:t>
      </w:r>
    </w:p>
    <w:p>
      <w:pPr>
        <w:spacing w:after="120"/>
      </w:pPr>
      <w:r>
        <w:rPr>
          <w:sz w:val="24"/>
          <w:szCs w:val="24"/>
        </w:rPr>
        <w:t xml:space="preserve">The Hauptvermutung states: a d=4 locally finite partial order with Poisson statistics and k-chain homogeneity faithfully embeds in a 4D Lorentzian manifold.</w:t>
      </w:r>
    </w:p>
    <w:p>
      <w:pPr>
        <w:spacing w:after="80"/>
      </w:pPr>
      <w:r>
        <w:rPr>
          <w:b/>
          <w:bCs/>
          <w:sz w:val="24"/>
          <w:szCs w:val="24"/>
        </w:rPr>
        <w:t xml:space="preserve">V4-internal proof strategy candidates:</w:t>
      </w:r>
    </w:p>
    <w:p>
      <w:pPr>
        <w:spacing w:after="60"/>
      </w:pPr>
      <w:r>
        <w:rPr>
          <w:sz w:val="24"/>
          <w:szCs w:val="24"/>
        </w:rPr>
        <w:t xml:space="preserve">1. Dimension estimator: show the Myrheim-Meyer dimension estimator applied to the V4 Poisson order gives d=4 exactly from V4 primitives — not from sprinkling into a manifold.</w:t>
      </w:r>
    </w:p>
    <w:p>
      <w:pPr>
        <w:spacing w:after="60"/>
      </w:pPr>
      <w:r>
        <w:rPr>
          <w:sz w:val="24"/>
          <w:szCs w:val="24"/>
        </w:rPr>
        <w:t xml:space="preserve">2. Spectral geometry: construct the spectral triple of the discrete order from the memory kernel and show it converges to the d=4 Lorentzian spectral triple in the continuum limit.</w:t>
      </w:r>
    </w:p>
    <w:p>
      <w:pPr>
        <w:spacing w:after="60"/>
      </w:pPr>
      <w:r>
        <w:rPr>
          <w:sz w:val="24"/>
          <w:szCs w:val="24"/>
        </w:rPr>
        <w:t xml:space="preserve">3. Alexandrov topology: show the Alexandrov topology of the V4 order (open sets = interiors of causal diamonds) converges to the standard topology of 4D Minkowski space.</w:t>
      </w:r>
    </w:p>
    <w:p>
      <w:pPr>
        <w:spacing w:after="200"/>
      </w:pPr>
      <w:r>
        <w:rPr>
          <w:sz w:val="24"/>
          <w:szCs w:val="24"/>
        </w:rPr>
        <w:t xml:space="preserve">4. Direct: use the fixed point equation C₄(β) plus a V4-internal geometric argument to show C₄ at d=4 equals the Lorentzian shell coefficient — this closes (β, C₄) simultaneously.</w:t>
      </w:r>
    </w:p>
    <w:p>
      <w:pPr>
        <w:pStyle w:val="Heading1"/>
        <w:spacing w:after="120" w:before="200"/>
      </w:pPr>
      <w:r>
        <w:t xml:space="preserve">5. Complete Status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Pr>
          <w:p>
            <w:r>
              <w:rPr>
                <w:b/>
                <w:bCs/>
                <w:sz w:val="20"/>
                <w:szCs w:val="20"/>
              </w:rPr>
              <w:t xml:space="preserve">Result</w:t>
            </w:r>
          </w:p>
        </w:tc>
        <w:tc>
          <w:tcPr>
            <w:tcW w:type="dxa" w:w="2000"/>
          </w:tcPr>
          <w:p>
            <w:r>
              <w:rPr>
                <w:b/>
                <w:bCs/>
                <w:sz w:val="20"/>
                <w:szCs w:val="20"/>
              </w:rPr>
              <w:t xml:space="preserve">Status</w:t>
            </w:r>
          </w:p>
        </w:tc>
        <w:tc>
          <w:tcPr>
            <w:tcW w:type="dxa" w:w="4000"/>
          </w:tcPr>
          <w:p>
            <w:r>
              <w:rPr>
                <w:b/>
                <w:bCs/>
                <w:sz w:val="20"/>
                <w:szCs w:val="20"/>
              </w:rPr>
              <w:t xml:space="preserve">Note</w:t>
            </w:r>
          </w:p>
        </w:tc>
      </w:tr>
      <w:tr>
        <w:tc>
          <w:tcPr>
            <w:tcW w:type="dxa" w:w="3000"/>
          </w:tcPr>
          <w:p>
            <w:r>
              <w:rPr>
                <w:sz w:val="20"/>
                <w:szCs w:val="20"/>
              </w:rPr>
              <w:t xml:space="preserve">Exponential kernel</w:t>
            </w:r>
          </w:p>
        </w:tc>
        <w:tc>
          <w:tcPr>
            <w:tcW w:type="dxa" w:w="2000"/>
          </w:tcPr>
          <w:p>
            <w:r>
              <w:rPr>
                <w:color w:val="1B5E20"/>
                <w:sz w:val="20"/>
                <w:szCs w:val="20"/>
              </w:rPr>
              <w:t xml:space="preserve">[DERIVED]</w:t>
            </w:r>
          </w:p>
        </w:tc>
        <w:tc>
          <w:tcPr>
            <w:tcW w:type="dxa" w:w="4000"/>
          </w:tcPr>
          <w:p>
            <w:r>
              <w:rPr>
                <w:sz w:val="20"/>
                <w:szCs w:val="20"/>
              </w:rPr>
              <w:t xml:space="preserve">Strongest derivation in V4</w:t>
            </w:r>
          </w:p>
        </w:tc>
      </w:tr>
      <w:tr>
        <w:tc>
          <w:tcPr>
            <w:tcW w:type="dxa" w:w="3000"/>
          </w:tcPr>
          <w:p>
            <w:r>
              <w:rPr>
                <w:sz w:val="20"/>
                <w:szCs w:val="20"/>
              </w:rPr>
              <w:t xml:space="preserve">Grading + k-chain homogeneity</w:t>
            </w:r>
          </w:p>
        </w:tc>
        <w:tc>
          <w:tcPr>
            <w:tcW w:type="dxa" w:w="2000"/>
          </w:tcPr>
          <w:p>
            <w:r>
              <w:rPr>
                <w:color w:val="1B5E20"/>
                <w:sz w:val="20"/>
                <w:szCs w:val="20"/>
              </w:rPr>
              <w:t xml:space="preserve">[CO-DERIVED]</w:t>
            </w:r>
          </w:p>
        </w:tc>
        <w:tc>
          <w:tcPr>
            <w:tcW w:type="dxa" w:w="4000"/>
          </w:tcPr>
          <w:p>
            <w:r>
              <w:rPr>
                <w:sz w:val="20"/>
                <w:szCs w:val="20"/>
              </w:rPr>
              <w:t xml:space="preserve">Mutually constraining</w:t>
            </w:r>
          </w:p>
        </w:tc>
      </w:tr>
      <w:tr>
        <w:tc>
          <w:tcPr>
            <w:tcW w:type="dxa" w:w="3000"/>
          </w:tcPr>
          <w:p>
            <w:r>
              <w:rPr>
                <w:sz w:val="20"/>
                <w:szCs w:val="20"/>
              </w:rPr>
              <w:t xml:space="preserve">Poisson form</w:t>
            </w:r>
          </w:p>
        </w:tc>
        <w:tc>
          <w:tcPr>
            <w:tcW w:type="dxa" w:w="2000"/>
          </w:tcPr>
          <w:p>
            <w:r>
              <w:rPr>
                <w:color w:val="1B5E20"/>
                <w:sz w:val="20"/>
                <w:szCs w:val="20"/>
              </w:rPr>
              <w:t xml:space="preserve">[DERIVED]</w:t>
            </w:r>
          </w:p>
        </w:tc>
        <w:tc>
          <w:tcPr>
            <w:tcW w:type="dxa" w:w="4000"/>
          </w:tcPr>
          <w:p>
            <w:r>
              <w:rPr>
                <w:sz w:val="20"/>
                <w:szCs w:val="20"/>
              </w:rPr>
              <w:t xml:space="preserve">Q4b sub-problem 2 closed</w:t>
            </w:r>
          </w:p>
        </w:tc>
      </w:tr>
      <w:tr>
        <w:tc>
          <w:tcPr>
            <w:tcW w:type="dxa" w:w="3000"/>
          </w:tcPr>
          <w:p>
            <w:r>
              <w:rPr>
                <w:sz w:val="20"/>
                <w:szCs w:val="20"/>
              </w:rPr>
              <w:t xml:space="preserve">S fully V4-native</w:t>
            </w:r>
          </w:p>
        </w:tc>
        <w:tc>
          <w:tcPr>
            <w:tcW w:type="dxa" w:w="2000"/>
          </w:tcPr>
          <w:p>
            <w:r>
              <w:rPr>
                <w:color w:val="1B5E20"/>
                <w:sz w:val="20"/>
                <w:szCs w:val="20"/>
              </w:rPr>
              <w:t xml:space="preserve">[DERIVED]</w:t>
            </w:r>
          </w:p>
        </w:tc>
        <w:tc>
          <w:tcPr>
            <w:tcW w:type="dxa" w:w="4000"/>
          </w:tcPr>
          <w:p>
            <w:r>
              <w:rPr>
                <w:sz w:val="20"/>
                <w:szCs w:val="20"/>
              </w:rPr>
              <w:t xml:space="preserve">Continuum limit entry point</w:t>
            </w:r>
          </w:p>
        </w:tc>
      </w:tr>
      <w:tr>
        <w:tc>
          <w:tcPr>
            <w:tcW w:type="dxa" w:w="3000"/>
          </w:tcPr>
          <w:p>
            <w:r>
              <w:rPr>
                <w:sz w:val="20"/>
                <w:szCs w:val="20"/>
              </w:rPr>
              <w:t xml:space="preserve">d = 4</w:t>
            </w:r>
          </w:p>
        </w:tc>
        <w:tc>
          <w:tcPr>
            <w:tcW w:type="dxa" w:w="2000"/>
          </w:tcPr>
          <w:p>
            <w:r>
              <w:rPr>
                <w:color w:val="1B5E20"/>
                <w:sz w:val="20"/>
                <w:szCs w:val="20"/>
              </w:rPr>
              <w:t xml:space="preserve">[DERIVED — fully closed]</w:t>
            </w:r>
          </w:p>
        </w:tc>
        <w:tc>
          <w:tcPr>
            <w:tcW w:type="dxa" w:w="4000"/>
          </w:tcPr>
          <w:p>
            <w:r>
              <w:rPr>
                <w:sz w:val="20"/>
                <w:szCs w:val="20"/>
              </w:rPr>
              <w:t xml:space="preserve">No remaining flags</w:t>
            </w:r>
          </w:p>
        </w:tc>
      </w:tr>
      <w:tr>
        <w:tc>
          <w:tcPr>
            <w:tcW w:type="dxa" w:w="3000"/>
          </w:tcPr>
          <w:p>
            <w:r>
              <w:rPr>
                <w:sz w:val="20"/>
                <w:szCs w:val="20"/>
              </w:rPr>
              <w:t xml:space="preserve">β = Ω_past</w:t>
            </w:r>
          </w:p>
        </w:tc>
        <w:tc>
          <w:tcPr>
            <w:tcW w:type="dxa" w:w="2000"/>
          </w:tcPr>
          <w:p>
            <w:r>
              <w:rPr>
                <w:color w:val="1565C0"/>
                <w:sz w:val="20"/>
                <w:szCs w:val="20"/>
              </w:rPr>
              <w:t xml:space="preserve">[DERIVED — conditional]</w:t>
            </w:r>
          </w:p>
        </w:tc>
        <w:tc>
          <w:tcPr>
            <w:tcW w:type="dxa" w:w="4000"/>
          </w:tcPr>
          <w:p>
            <w:r>
              <w:rPr>
                <w:sz w:val="20"/>
                <w:szCs w:val="20"/>
              </w:rPr>
              <w:t xml:space="preserve">Ω_past not yet V4-internal</w:t>
            </w:r>
          </w:p>
        </w:tc>
      </w:tr>
      <w:tr>
        <w:tc>
          <w:tcPr>
            <w:tcW w:type="dxa" w:w="3000"/>
          </w:tcPr>
          <w:p>
            <w:r>
              <w:rPr>
                <w:sz w:val="20"/>
                <w:szCs w:val="20"/>
              </w:rPr>
              <w:t xml:space="preserve">(β, C₄) fixed point eq.</w:t>
            </w:r>
          </w:p>
        </w:tc>
        <w:tc>
          <w:tcPr>
            <w:tcW w:type="dxa" w:w="2000"/>
          </w:tcPr>
          <w:p>
            <w:r>
              <w:rPr>
                <w:color w:val="1565C0"/>
                <w:sz w:val="20"/>
                <w:szCs w:val="20"/>
              </w:rPr>
              <w:t xml:space="preserve">[IDENTIFIED]</w:t>
            </w:r>
          </w:p>
        </w:tc>
        <w:tc>
          <w:tcPr>
            <w:tcW w:type="dxa" w:w="4000"/>
          </w:tcPr>
          <w:p>
            <w:r>
              <w:rPr>
                <w:sz w:val="20"/>
                <w:szCs w:val="20"/>
              </w:rPr>
              <w:t xml:space="preserve">Path B. One more condition needed.</w:t>
            </w:r>
          </w:p>
        </w:tc>
      </w:tr>
      <w:tr>
        <w:tc>
          <w:tcPr>
            <w:tcW w:type="dxa" w:w="3000"/>
          </w:tcPr>
          <w:p>
            <w:r>
              <w:rPr>
                <w:sz w:val="20"/>
                <w:szCs w:val="20"/>
              </w:rPr>
              <w:t xml:space="preserve">Algebraic identity</w:t>
            </w:r>
          </w:p>
        </w:tc>
        <w:tc>
          <w:tcPr>
            <w:tcW w:type="dxa" w:w="2000"/>
          </w:tcPr>
          <w:p>
            <w:r>
              <w:rPr>
                <w:color w:val="1565C0"/>
                <w:sz w:val="20"/>
                <w:szCs w:val="20"/>
              </w:rPr>
              <w:t xml:space="preserve">[IDENTIFIED]</w:t>
            </w:r>
          </w:p>
        </w:tc>
        <w:tc>
          <w:tcPr>
            <w:tcW w:type="dxa" w:w="4000"/>
          </w:tcPr>
          <w:p>
            <w:r>
              <w:rPr>
                <w:sz w:val="20"/>
                <w:szCs w:val="20"/>
              </w:rPr>
              <w:t xml:space="preserve">C₄·exp(−4β) = deficit ratio. Exact.</w:t>
            </w:r>
          </w:p>
        </w:tc>
      </w:tr>
      <w:tr>
        <w:tc>
          <w:tcPr>
            <w:tcW w:type="dxa" w:w="3000"/>
          </w:tcPr>
          <w:p>
            <w:r>
              <w:rPr>
                <w:sz w:val="20"/>
                <w:szCs w:val="20"/>
              </w:rPr>
              <w:t xml:space="preserve">Hauptvermutung</w:t>
            </w:r>
          </w:p>
        </w:tc>
        <w:tc>
          <w:tcPr>
            <w:tcW w:type="dxa" w:w="2000"/>
          </w:tcPr>
          <w:p>
            <w:r>
              <w:rPr>
                <w:color w:val="BA7517"/>
                <w:sz w:val="20"/>
                <w:szCs w:val="20"/>
              </w:rPr>
              <w:t xml:space="preserve">[OPEN — PRIMARY GATE]</w:t>
            </w:r>
          </w:p>
        </w:tc>
        <w:tc>
          <w:tcPr>
            <w:tcW w:type="dxa" w:w="4000"/>
          </w:tcPr>
          <w:p>
            <w:r>
              <w:rPr>
                <w:sz w:val="20"/>
                <w:szCs w:val="20"/>
              </w:rPr>
              <w:t xml:space="preserve">Must be proved before β=2π can be derived</w:t>
            </w:r>
          </w:p>
        </w:tc>
      </w:tr>
      <w:tr>
        <w:tc>
          <w:tcPr>
            <w:tcW w:type="dxa" w:w="3000"/>
          </w:tcPr>
          <w:p>
            <w:r>
              <w:rPr>
                <w:sz w:val="20"/>
                <w:szCs w:val="20"/>
              </w:rPr>
              <w:t xml:space="preserve">β = 2π</w:t>
            </w:r>
          </w:p>
        </w:tc>
        <w:tc>
          <w:tcPr>
            <w:tcW w:type="dxa" w:w="2000"/>
          </w:tcPr>
          <w:p>
            <w:r>
              <w:rPr>
                <w:color w:val="BA7517"/>
                <w:sz w:val="20"/>
                <w:szCs w:val="20"/>
              </w:rPr>
              <w:t xml:space="preserve">[OPEN]</w:t>
            </w:r>
          </w:p>
        </w:tc>
        <w:tc>
          <w:tcPr>
            <w:tcW w:type="dxa" w:w="4000"/>
          </w:tcPr>
          <w:p>
            <w:r>
              <w:rPr>
                <w:sz w:val="20"/>
                <w:szCs w:val="20"/>
              </w:rPr>
              <w:t xml:space="preserve">Requires Hauptvermutung</w:t>
            </w:r>
          </w:p>
        </w:tc>
      </w:tr>
      <w:tr>
        <w:tc>
          <w:tcPr>
            <w:tcW w:type="dxa" w:w="3000"/>
          </w:tcPr>
          <w:p>
            <w:r>
              <w:rPr>
                <w:sz w:val="20"/>
                <w:szCs w:val="20"/>
              </w:rPr>
              <w:t xml:space="preserve">Geometric/baryon tension</w:t>
            </w:r>
          </w:p>
        </w:tc>
        <w:tc>
          <w:tcPr>
            <w:tcW w:type="dxa" w:w="2000"/>
          </w:tcPr>
          <w:p>
            <w:r>
              <w:rPr>
                <w:color w:val="BA7517"/>
                <w:sz w:val="20"/>
                <w:szCs w:val="20"/>
              </w:rPr>
              <w:t xml:space="preserve">[OPEN]</w:t>
            </w:r>
          </w:p>
        </w:tc>
        <w:tc>
          <w:tcPr>
            <w:tcW w:type="dxa" w:w="4000"/>
          </w:tcPr>
          <w:p>
            <w:r>
              <w:rPr>
                <w:sz w:val="20"/>
                <w:szCs w:val="20"/>
              </w:rPr>
              <w:t xml:space="preserve">Cannot both be satisfied at same β without Hauptvermutung</w:t>
            </w:r>
          </w:p>
        </w:tc>
      </w:tr>
      <w:tr>
        <w:tc>
          <w:tcPr>
            <w:tcW w:type="dxa" w:w="3000"/>
          </w:tcPr>
          <w:p>
            <w:r>
              <w:rPr>
                <w:sz w:val="20"/>
                <w:szCs w:val="20"/>
              </w:rPr>
              <w:t xml:space="preserve">Baryon asymmetry η</w:t>
            </w:r>
          </w:p>
        </w:tc>
        <w:tc>
          <w:tcPr>
            <w:tcW w:type="dxa" w:w="2000"/>
          </w:tcPr>
          <w:p>
            <w:r>
              <w:rPr>
                <w:color w:val="BA7517"/>
                <w:sz w:val="20"/>
                <w:szCs w:val="20"/>
              </w:rPr>
              <w:t xml:space="preserve">[SPECULATIVE]</w:t>
            </w:r>
          </w:p>
        </w:tc>
        <w:tc>
          <w:tcPr>
            <w:tcW w:type="dxa" w:w="4000"/>
          </w:tcPr>
          <w:p>
            <w:r>
              <w:rPr>
                <w:sz w:val="20"/>
                <w:szCs w:val="20"/>
              </w:rPr>
              <w:t xml:space="preserve">Deficit ratio proximate to η but not derived</w:t>
            </w:r>
          </w:p>
        </w:tc>
      </w:tr>
      <w:tr>
        <w:tc>
          <w:tcPr>
            <w:tcW w:type="dxa" w:w="3000"/>
          </w:tcPr>
          <w:p>
            <w:r>
              <w:rPr>
                <w:sz w:val="20"/>
                <w:szCs w:val="20"/>
              </w:rPr>
              <w:t xml:space="preserve">Path E</w:t>
            </w:r>
          </w:p>
        </w:tc>
        <w:tc>
          <w:tcPr>
            <w:tcW w:type="dxa" w:w="2000"/>
          </w:tcPr>
          <w:p>
            <w:r>
              <w:rPr>
                <w:color w:val="888780"/>
                <w:sz w:val="20"/>
                <w:szCs w:val="20"/>
              </w:rPr>
              <w:t xml:space="preserve">[RULED OUT]</w:t>
            </w:r>
          </w:p>
        </w:tc>
        <w:tc>
          <w:tcPr>
            <w:tcW w:type="dxa" w:w="4000"/>
          </w:tcPr>
          <w:p>
            <w:r>
              <w:rPr>
                <w:sz w:val="20"/>
                <w:szCs w:val="20"/>
              </w:rPr>
              <w:t xml:space="preserve">Spectral period does not derive Re(β)=2π</w:t>
            </w:r>
          </w:p>
        </w:tc>
      </w:tr>
      <w:tr>
        <w:tc>
          <w:tcPr>
            <w:tcW w:type="dxa" w:w="3000"/>
          </w:tcPr>
          <w:p>
            <w:r>
              <w:rPr>
                <w:sz w:val="20"/>
                <w:szCs w:val="20"/>
              </w:rPr>
              <w:t xml:space="preserve">Paths H, F</w:t>
            </w:r>
          </w:p>
        </w:tc>
        <w:tc>
          <w:tcPr>
            <w:tcW w:type="dxa" w:w="2000"/>
          </w:tcPr>
          <w:p>
            <w:r>
              <w:rPr>
                <w:color w:val="888780"/>
                <w:sz w:val="20"/>
                <w:szCs w:val="20"/>
              </w:rPr>
              <w:t xml:space="preserve">[ATTEMPTED — negative]</w:t>
            </w:r>
          </w:p>
        </w:tc>
        <w:tc>
          <w:tcPr>
            <w:tcW w:type="dxa" w:w="4000"/>
          </w:tcPr>
          <w:p>
            <w:r>
              <w:rPr>
                <w:sz w:val="20"/>
                <w:szCs w:val="20"/>
              </w:rPr>
              <w:t xml:space="preserve">Do not independently fix β</w:t>
            </w:r>
          </w:p>
        </w:tc>
      </w:tr>
    </w:tbl>
    <w:p>
      <w:pPr>
        <w:pBdr>
          <w:top w:val="single" w:color="CCCCCC" w:sz="1"/>
        </w:pBdr>
        <w:spacing w:before="300"/>
        <w:jc w:val="center"/>
      </w:pPr>
      <w:r>
        <w:rPr>
          <w:color w:val="999999"/>
          <w:sz w:val="20"/>
          <w:szCs w:val="20"/>
        </w:rPr>
        <w:t xml:space="preserve">V4 Session 2 Final · June 22,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2026-07-09T22:46:01.038Z</dcterms:created>
  <dcterms:modified xsi:type="dcterms:W3CDTF">2026-07-09T22:46:01.038Z</dcterms:modified>
</cp:coreProperties>
</file>

<file path=docProps/custom.xml><?xml version="1.0" encoding="utf-8"?>
<Properties xmlns="http://schemas.openxmlformats.org/officeDocument/2006/custom-properties" xmlns:vt="http://schemas.openxmlformats.org/officeDocument/2006/docPropsVTypes"/>
</file>