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AE3A3" w14:textId="77777777" w:rsidR="001D3604" w:rsidRDefault="00D66F0C">
      <w:pPr>
        <w:pStyle w:val="Title"/>
      </w:pPr>
      <w:r>
        <w:t>Week 2 Reading Guide</w:t>
      </w:r>
    </w:p>
    <w:p w14:paraId="441AE3A4" w14:textId="77777777" w:rsidR="001D3604" w:rsidRDefault="00D66F0C">
      <w:pPr>
        <w:pStyle w:val="Heading1"/>
      </w:pPr>
      <w:bookmarkStart w:id="0" w:name="chapter-5-exploring-numerical-data"/>
      <w:r>
        <w:t>Chapter 5: Exploring Numerical Data</w:t>
      </w:r>
    </w:p>
    <w:p w14:paraId="441AE3A5" w14:textId="77777777" w:rsidR="001D3604" w:rsidRDefault="00D66F0C">
      <w:pPr>
        <w:pStyle w:val="Heading3"/>
      </w:pPr>
      <w:bookmarkStart w:id="1" w:name="section-5.1-scatterplots-for-paired-data"/>
      <w:r>
        <w:t>Section 5.1: Scatterplots for Paired Data</w:t>
      </w:r>
    </w:p>
    <w:p w14:paraId="441AE3A6" w14:textId="77777777" w:rsidR="001D3604" w:rsidRDefault="001D3604">
      <w:pPr>
        <w:pStyle w:val="FirstParagraph"/>
      </w:pPr>
    </w:p>
    <w:p w14:paraId="441AE3A7" w14:textId="77777777" w:rsidR="001D3604" w:rsidRDefault="00D66F0C">
      <w:pPr>
        <w:pStyle w:val="BodyText"/>
      </w:pPr>
      <w:r>
        <w:rPr>
          <w:b/>
          <w:bCs/>
        </w:rPr>
        <w:t>Scatterplot:</w:t>
      </w:r>
    </w:p>
    <w:p w14:paraId="441AE3A8" w14:textId="77777777" w:rsidR="001D3604" w:rsidRDefault="00D66F0C">
      <w:pPr>
        <w:pStyle w:val="BodyText"/>
      </w:pPr>
      <w:r>
        <w:t xml:space="preserve"> </w:t>
      </w:r>
    </w:p>
    <w:p w14:paraId="441AE3A9" w14:textId="77777777" w:rsidR="001D3604" w:rsidRDefault="00D66F0C">
      <w:pPr>
        <w:pStyle w:val="BodyText"/>
      </w:pPr>
      <w:r>
        <w:rPr>
          <w:b/>
          <w:bCs/>
        </w:rPr>
        <w:t>Linear Relationship:</w:t>
      </w:r>
    </w:p>
    <w:p w14:paraId="441AE3AA" w14:textId="77777777" w:rsidR="001D3604" w:rsidRDefault="00D66F0C">
      <w:pPr>
        <w:pStyle w:val="BodyText"/>
      </w:pPr>
      <w:r>
        <w:t xml:space="preserve"> </w:t>
      </w:r>
    </w:p>
    <w:p w14:paraId="441AE3AB" w14:textId="77777777" w:rsidR="001D3604" w:rsidRDefault="00D66F0C">
      <w:pPr>
        <w:pStyle w:val="BodyText"/>
      </w:pPr>
      <w:r>
        <w:rPr>
          <w:b/>
          <w:bCs/>
        </w:rPr>
        <w:t>Nonlinear Relationship:</w:t>
      </w:r>
    </w:p>
    <w:p w14:paraId="441AE3AC" w14:textId="77777777" w:rsidR="001D3604" w:rsidRDefault="00D66F0C">
      <w:pPr>
        <w:pStyle w:val="BodyText"/>
      </w:pPr>
      <w:r>
        <w:t xml:space="preserve"> </w:t>
      </w:r>
    </w:p>
    <w:p w14:paraId="441AE3AD" w14:textId="77777777" w:rsidR="001D3604" w:rsidRDefault="00D66F0C">
      <w:pPr>
        <w:pStyle w:val="Heading4"/>
      </w:pPr>
      <w:bookmarkStart w:id="2" w:name="notes"/>
      <w:r>
        <w:t>Notes:</w:t>
      </w:r>
    </w:p>
    <w:p w14:paraId="441AE3AE" w14:textId="77777777" w:rsidR="001D3604" w:rsidRDefault="00D66F0C">
      <w:pPr>
        <w:pStyle w:val="FirstParagraph"/>
      </w:pPr>
      <w:r>
        <w:rPr>
          <w:b/>
          <w:bCs/>
        </w:rPr>
        <w:t>Four characteristics of a scatterplot:</w:t>
      </w:r>
    </w:p>
    <w:p w14:paraId="441AE3AF" w14:textId="77777777" w:rsidR="001D3604" w:rsidRDefault="00D66F0C">
      <w:pPr>
        <w:pStyle w:val="Compact"/>
        <w:numPr>
          <w:ilvl w:val="0"/>
          <w:numId w:val="2"/>
        </w:numPr>
      </w:pPr>
      <w:r>
        <w:rPr>
          <w:b/>
          <w:bCs/>
        </w:rPr>
        <w:t>Form:</w:t>
      </w:r>
    </w:p>
    <w:p w14:paraId="441AE3B0" w14:textId="77777777" w:rsidR="001D3604" w:rsidRDefault="00D66F0C">
      <w:pPr>
        <w:pStyle w:val="FirstParagraph"/>
      </w:pPr>
      <w:r>
        <w:t xml:space="preserve"> </w:t>
      </w:r>
    </w:p>
    <w:p w14:paraId="441AE3B1" w14:textId="77777777" w:rsidR="001D3604" w:rsidRDefault="00D66F0C">
      <w:pPr>
        <w:pStyle w:val="Compact"/>
        <w:numPr>
          <w:ilvl w:val="0"/>
          <w:numId w:val="3"/>
        </w:numPr>
      </w:pPr>
      <w:r>
        <w:rPr>
          <w:b/>
          <w:bCs/>
        </w:rPr>
        <w:t>Strength:</w:t>
      </w:r>
    </w:p>
    <w:p w14:paraId="441AE3B2" w14:textId="77777777" w:rsidR="001D3604" w:rsidRDefault="00D66F0C">
      <w:pPr>
        <w:pStyle w:val="FirstParagraph"/>
      </w:pPr>
      <w:r>
        <w:t xml:space="preserve"> </w:t>
      </w:r>
    </w:p>
    <w:p w14:paraId="441AE3B3" w14:textId="77777777" w:rsidR="001D3604" w:rsidRDefault="00D66F0C">
      <w:pPr>
        <w:pStyle w:val="Compact"/>
        <w:numPr>
          <w:ilvl w:val="0"/>
          <w:numId w:val="4"/>
        </w:numPr>
      </w:pPr>
      <w:r>
        <w:rPr>
          <w:b/>
          <w:bCs/>
        </w:rPr>
        <w:t>Direction:</w:t>
      </w:r>
    </w:p>
    <w:p w14:paraId="441AE3B4" w14:textId="77777777" w:rsidR="001D3604" w:rsidRDefault="00D66F0C">
      <w:pPr>
        <w:pStyle w:val="FirstParagraph"/>
      </w:pPr>
      <w:r>
        <w:t xml:space="preserve"> </w:t>
      </w:r>
    </w:p>
    <w:p w14:paraId="441AE3B5" w14:textId="77777777" w:rsidR="001D3604" w:rsidRDefault="00D66F0C">
      <w:pPr>
        <w:pStyle w:val="Compact"/>
        <w:numPr>
          <w:ilvl w:val="0"/>
          <w:numId w:val="5"/>
        </w:numPr>
      </w:pPr>
      <w:r>
        <w:rPr>
          <w:b/>
          <w:bCs/>
        </w:rPr>
        <w:t>Unusual observations or outliers:</w:t>
      </w:r>
    </w:p>
    <w:p w14:paraId="441AE3B6" w14:textId="77777777" w:rsidR="001D3604" w:rsidRDefault="00D66F0C">
      <w:pPr>
        <w:pStyle w:val="FirstParagraph"/>
      </w:pPr>
      <w:r>
        <w:t xml:space="preserve"> </w:t>
      </w:r>
    </w:p>
    <w:p w14:paraId="441AE3B7" w14:textId="77777777" w:rsidR="001D3604" w:rsidRDefault="00D66F0C">
      <w:pPr>
        <w:pStyle w:val="BodyText"/>
      </w:pPr>
      <w:r>
        <w:t>Describe two variables that would have a horseshoe-shaped association in a scatterplot (∩ or ⌢).</w:t>
      </w:r>
    </w:p>
    <w:p w14:paraId="441AE3B8" w14:textId="11356E78" w:rsidR="001D3604" w:rsidRDefault="00D66F0C">
      <w:pPr>
        <w:pStyle w:val="BodyText"/>
      </w:pPr>
      <w:r>
        <w:t xml:space="preserve"> </w:t>
      </w:r>
    </w:p>
    <w:p w14:paraId="49DBB10F" w14:textId="0C246086" w:rsidR="00CE0E75" w:rsidRDefault="00CE0E75">
      <w:pPr>
        <w:pStyle w:val="BodyText"/>
      </w:pPr>
    </w:p>
    <w:p w14:paraId="6A97A083" w14:textId="55F5A565" w:rsidR="00CE0E75" w:rsidRDefault="00CE0E75">
      <w:pPr>
        <w:pStyle w:val="BodyText"/>
      </w:pPr>
    </w:p>
    <w:p w14:paraId="4BD6EB6F" w14:textId="77777777" w:rsidR="00CE0E75" w:rsidRDefault="00CE0E75">
      <w:pPr>
        <w:pStyle w:val="BodyText"/>
      </w:pPr>
    </w:p>
    <w:p w14:paraId="441AE3B9" w14:textId="77777777" w:rsidR="001D3604" w:rsidRDefault="00000000">
      <w:r>
        <w:lastRenderedPageBreak/>
        <w:pict w14:anchorId="441AE43E">
          <v:rect id="_x0000_i1025" style="width:0;height:1.5pt" o:hralign="center" o:hrstd="t" o:hr="t"/>
        </w:pict>
      </w:r>
    </w:p>
    <w:p w14:paraId="441AE3BA" w14:textId="77777777" w:rsidR="001D3604" w:rsidRDefault="00D66F0C">
      <w:pPr>
        <w:pStyle w:val="Heading3"/>
      </w:pPr>
      <w:bookmarkStart w:id="3" w:name="section-5.2-dot-plots-and-the-mean"/>
      <w:bookmarkEnd w:id="1"/>
      <w:bookmarkEnd w:id="2"/>
      <w:r>
        <w:t>Section 5.2: Dot Plots and the Mean</w:t>
      </w:r>
    </w:p>
    <w:p w14:paraId="441AE3BB" w14:textId="77777777" w:rsidR="001D3604" w:rsidRDefault="001D3604">
      <w:pPr>
        <w:pStyle w:val="FirstParagraph"/>
      </w:pPr>
    </w:p>
    <w:p w14:paraId="441AE3BC" w14:textId="77777777" w:rsidR="001D3604" w:rsidRDefault="00D66F0C">
      <w:pPr>
        <w:pStyle w:val="BodyText"/>
      </w:pPr>
      <w:r>
        <w:rPr>
          <w:b/>
          <w:bCs/>
        </w:rPr>
        <w:t>Dot plot:</w:t>
      </w:r>
    </w:p>
    <w:p w14:paraId="441AE3BD" w14:textId="77777777" w:rsidR="001D3604" w:rsidRDefault="00D66F0C">
      <w:pPr>
        <w:pStyle w:val="BodyText"/>
      </w:pPr>
      <w:r>
        <w:t xml:space="preserve"> </w:t>
      </w:r>
    </w:p>
    <w:p w14:paraId="441AE3BE" w14:textId="77777777" w:rsidR="001D3604" w:rsidRDefault="00D66F0C">
      <w:pPr>
        <w:pStyle w:val="BodyText"/>
      </w:pPr>
      <w:r>
        <w:rPr>
          <w:b/>
          <w:bCs/>
        </w:rPr>
        <w:t>Mean / Average:</w:t>
      </w:r>
    </w:p>
    <w:p w14:paraId="441AE3BF" w14:textId="77777777" w:rsidR="001D3604" w:rsidRDefault="00D66F0C">
      <w:pPr>
        <w:pStyle w:val="BodyText"/>
      </w:pPr>
      <w:r>
        <w:t xml:space="preserve"> </w:t>
      </w:r>
    </w:p>
    <w:p w14:paraId="441AE3C0" w14:textId="77777777" w:rsidR="001D3604" w:rsidRDefault="00D66F0C">
      <w:pPr>
        <w:pStyle w:val="BodyText"/>
      </w:pPr>
      <w:r>
        <w:rPr>
          <w:b/>
          <w:bCs/>
        </w:rPr>
        <w:t>Distribution:</w:t>
      </w:r>
    </w:p>
    <w:p w14:paraId="441AE3C1" w14:textId="77777777" w:rsidR="001D3604" w:rsidRDefault="00D66F0C">
      <w:pPr>
        <w:pStyle w:val="BodyText"/>
      </w:pPr>
      <w:r>
        <w:t xml:space="preserve"> </w:t>
      </w:r>
    </w:p>
    <w:p w14:paraId="441AE3C2" w14:textId="77777777" w:rsidR="001D3604" w:rsidRDefault="00D66F0C">
      <w:pPr>
        <w:pStyle w:val="BodyText"/>
      </w:pPr>
      <m:oMath>
        <m:r>
          <w:rPr>
            <w:rFonts w:ascii="Cambria Math" w:hAnsi="Cambria Math"/>
          </w:rPr>
          <m:t>μ</m:t>
        </m:r>
      </m:oMath>
      <w:r>
        <w:t>:</w:t>
      </w:r>
    </w:p>
    <w:p w14:paraId="441AE3C3" w14:textId="77777777" w:rsidR="001D3604" w:rsidRDefault="00D66F0C">
      <w:pPr>
        <w:pStyle w:val="BodyText"/>
      </w:pPr>
      <w:r>
        <w:t xml:space="preserve"> </w:t>
      </w:r>
    </w:p>
    <w:p w14:paraId="441AE3C4" w14:textId="4B97FBB2" w:rsidR="001D3604" w:rsidRDefault="00000000">
      <w:pPr>
        <w:pStyle w:val="BodyText"/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CE0E75">
        <w:rPr>
          <w:rFonts w:eastAsiaTheme="minorEastAsia"/>
        </w:rPr>
        <w:t xml:space="preserve"> </w:t>
      </w:r>
    </w:p>
    <w:p w14:paraId="441AE3C5" w14:textId="77777777" w:rsidR="001D3604" w:rsidRDefault="00D66F0C">
      <w:pPr>
        <w:pStyle w:val="BodyText"/>
      </w:pPr>
      <w:r>
        <w:t xml:space="preserve"> </w:t>
      </w:r>
    </w:p>
    <w:p w14:paraId="441AE3C6" w14:textId="77777777" w:rsidR="001D3604" w:rsidRDefault="00D66F0C">
      <w:pPr>
        <w:pStyle w:val="BodyText"/>
      </w:pPr>
      <w:r>
        <w:rPr>
          <w:b/>
          <w:bCs/>
        </w:rPr>
        <w:t>Point Estimate:</w:t>
      </w:r>
    </w:p>
    <w:p w14:paraId="441AE3C7" w14:textId="77777777" w:rsidR="001D3604" w:rsidRDefault="00D66F0C">
      <w:pPr>
        <w:pStyle w:val="BodyText"/>
      </w:pPr>
      <w:r>
        <w:t xml:space="preserve"> </w:t>
      </w:r>
    </w:p>
    <w:p w14:paraId="441AE3C8" w14:textId="77777777" w:rsidR="001D3604" w:rsidRDefault="00000000">
      <w:r>
        <w:pict w14:anchorId="441AE43F">
          <v:rect id="_x0000_i1026" style="width:0;height:1.5pt" o:hralign="center" o:hrstd="t" o:hr="t"/>
        </w:pict>
      </w:r>
    </w:p>
    <w:p w14:paraId="441AE3C9" w14:textId="77777777" w:rsidR="001D3604" w:rsidRDefault="00D66F0C">
      <w:pPr>
        <w:pStyle w:val="Heading3"/>
      </w:pPr>
      <w:bookmarkStart w:id="4" w:name="section-5.3-histograms-and-shape"/>
      <w:bookmarkEnd w:id="3"/>
      <w:r>
        <w:t>Section 5.3: Histograms and Shape</w:t>
      </w:r>
    </w:p>
    <w:p w14:paraId="441AE3CA" w14:textId="77777777" w:rsidR="001D3604" w:rsidRDefault="001D3604">
      <w:pPr>
        <w:pStyle w:val="FirstParagraph"/>
      </w:pPr>
    </w:p>
    <w:p w14:paraId="441AE3CB" w14:textId="77777777" w:rsidR="001D3604" w:rsidRDefault="00D66F0C">
      <w:pPr>
        <w:pStyle w:val="BodyText"/>
      </w:pPr>
      <w:r>
        <w:rPr>
          <w:b/>
          <w:bCs/>
        </w:rPr>
        <w:t>Histogram:</w:t>
      </w:r>
    </w:p>
    <w:p w14:paraId="441AE3CC" w14:textId="77777777" w:rsidR="001D3604" w:rsidRDefault="00D66F0C">
      <w:pPr>
        <w:pStyle w:val="BodyText"/>
      </w:pPr>
      <w:r>
        <w:t xml:space="preserve"> </w:t>
      </w:r>
    </w:p>
    <w:p w14:paraId="441AE3CD" w14:textId="77777777" w:rsidR="001D3604" w:rsidRDefault="00D66F0C">
      <w:pPr>
        <w:pStyle w:val="BodyText"/>
      </w:pPr>
      <w:r>
        <w:rPr>
          <w:b/>
          <w:bCs/>
        </w:rPr>
        <w:t>Tail:</w:t>
      </w:r>
    </w:p>
    <w:p w14:paraId="441AE3CE" w14:textId="77777777" w:rsidR="001D3604" w:rsidRDefault="00D66F0C">
      <w:pPr>
        <w:pStyle w:val="BodyText"/>
      </w:pPr>
      <w:r>
        <w:t xml:space="preserve"> </w:t>
      </w:r>
    </w:p>
    <w:p w14:paraId="441AE3CF" w14:textId="77777777" w:rsidR="001D3604" w:rsidRDefault="00D66F0C">
      <w:pPr>
        <w:pStyle w:val="BodyText"/>
      </w:pPr>
      <w:r>
        <w:rPr>
          <w:b/>
          <w:bCs/>
        </w:rPr>
        <w:t>Right Skewed:</w:t>
      </w:r>
    </w:p>
    <w:p w14:paraId="441AE3D0" w14:textId="77777777" w:rsidR="001D3604" w:rsidRDefault="00D66F0C">
      <w:pPr>
        <w:pStyle w:val="BodyText"/>
      </w:pPr>
      <w:r>
        <w:t xml:space="preserve"> </w:t>
      </w:r>
    </w:p>
    <w:p w14:paraId="441AE3D1" w14:textId="77777777" w:rsidR="001D3604" w:rsidRDefault="00D66F0C">
      <w:pPr>
        <w:pStyle w:val="BodyText"/>
      </w:pPr>
      <w:r>
        <w:rPr>
          <w:b/>
          <w:bCs/>
        </w:rPr>
        <w:t>Left Skewed:</w:t>
      </w:r>
    </w:p>
    <w:p w14:paraId="441AE3D2" w14:textId="77777777" w:rsidR="001D3604" w:rsidRDefault="00D66F0C">
      <w:pPr>
        <w:pStyle w:val="BodyText"/>
      </w:pPr>
      <w:r>
        <w:t xml:space="preserve"> </w:t>
      </w:r>
    </w:p>
    <w:p w14:paraId="441AE3D3" w14:textId="77777777" w:rsidR="001D3604" w:rsidRDefault="00D66F0C">
      <w:pPr>
        <w:pStyle w:val="BodyText"/>
      </w:pPr>
      <w:r>
        <w:rPr>
          <w:b/>
          <w:bCs/>
        </w:rPr>
        <w:t>Symmetric:</w:t>
      </w:r>
    </w:p>
    <w:p w14:paraId="441AE3D4" w14:textId="77777777" w:rsidR="001D3604" w:rsidRDefault="00D66F0C">
      <w:pPr>
        <w:pStyle w:val="BodyText"/>
      </w:pPr>
      <w:r>
        <w:t xml:space="preserve"> </w:t>
      </w:r>
    </w:p>
    <w:p w14:paraId="441AE3D5" w14:textId="77777777" w:rsidR="001D3604" w:rsidRDefault="00D66F0C">
      <w:pPr>
        <w:pStyle w:val="BodyText"/>
      </w:pPr>
      <w:r>
        <w:rPr>
          <w:b/>
          <w:bCs/>
        </w:rPr>
        <w:lastRenderedPageBreak/>
        <w:t>Density Plot:</w:t>
      </w:r>
    </w:p>
    <w:p w14:paraId="441AE3D6" w14:textId="77777777" w:rsidR="001D3604" w:rsidRDefault="00D66F0C">
      <w:pPr>
        <w:pStyle w:val="BodyText"/>
      </w:pPr>
      <w:r>
        <w:t xml:space="preserve"> </w:t>
      </w:r>
    </w:p>
    <w:p w14:paraId="441AE3D7" w14:textId="77777777" w:rsidR="001D3604" w:rsidRDefault="00D66F0C">
      <w:pPr>
        <w:pStyle w:val="BodyText"/>
      </w:pPr>
      <w:r>
        <w:rPr>
          <w:b/>
          <w:bCs/>
        </w:rPr>
        <w:t>Mode:</w:t>
      </w:r>
    </w:p>
    <w:p w14:paraId="441AE3D8" w14:textId="77777777" w:rsidR="001D3604" w:rsidRDefault="00D66F0C">
      <w:pPr>
        <w:pStyle w:val="BodyText"/>
      </w:pPr>
      <w:r>
        <w:t xml:space="preserve"> </w:t>
      </w:r>
    </w:p>
    <w:p w14:paraId="441AE3D9" w14:textId="77777777" w:rsidR="001D3604" w:rsidRDefault="00D66F0C">
      <w:pPr>
        <w:pStyle w:val="BodyText"/>
      </w:pPr>
      <w:r>
        <w:rPr>
          <w:b/>
          <w:bCs/>
        </w:rPr>
        <w:t>Unimodal:</w:t>
      </w:r>
    </w:p>
    <w:p w14:paraId="441AE3DA" w14:textId="77777777" w:rsidR="001D3604" w:rsidRDefault="00D66F0C">
      <w:pPr>
        <w:pStyle w:val="BodyText"/>
      </w:pPr>
      <w:r>
        <w:t xml:space="preserve"> </w:t>
      </w:r>
    </w:p>
    <w:p w14:paraId="441AE3DB" w14:textId="77777777" w:rsidR="001D3604" w:rsidRDefault="00D66F0C">
      <w:pPr>
        <w:pStyle w:val="BodyText"/>
      </w:pPr>
      <w:r>
        <w:rPr>
          <w:b/>
          <w:bCs/>
        </w:rPr>
        <w:t>Bimodal:</w:t>
      </w:r>
    </w:p>
    <w:p w14:paraId="441AE3DC" w14:textId="77777777" w:rsidR="001D3604" w:rsidRDefault="00D66F0C">
      <w:pPr>
        <w:pStyle w:val="BodyText"/>
      </w:pPr>
      <w:r>
        <w:t xml:space="preserve"> </w:t>
      </w:r>
    </w:p>
    <w:p w14:paraId="441AE3DD" w14:textId="77777777" w:rsidR="001D3604" w:rsidRDefault="00D66F0C">
      <w:pPr>
        <w:pStyle w:val="BodyText"/>
      </w:pPr>
      <w:r>
        <w:rPr>
          <w:b/>
          <w:bCs/>
        </w:rPr>
        <w:t>Multimodal:</w:t>
      </w:r>
    </w:p>
    <w:p w14:paraId="441AE3DE" w14:textId="77777777" w:rsidR="001D3604" w:rsidRDefault="00D66F0C">
      <w:pPr>
        <w:pStyle w:val="BodyText"/>
      </w:pPr>
      <w:r>
        <w:t xml:space="preserve"> </w:t>
      </w:r>
    </w:p>
    <w:p w14:paraId="441AE3DF" w14:textId="77777777" w:rsidR="001D3604" w:rsidRDefault="00D66F0C">
      <w:pPr>
        <w:pStyle w:val="Heading4"/>
      </w:pPr>
      <w:bookmarkStart w:id="5" w:name="notes-1"/>
      <w:r>
        <w:t>Notes:</w:t>
      </w:r>
    </w:p>
    <w:p w14:paraId="441AE3E0" w14:textId="77777777" w:rsidR="001D3604" w:rsidRDefault="00D66F0C">
      <w:pPr>
        <w:pStyle w:val="FirstParagraph"/>
      </w:pPr>
      <w:r>
        <w:rPr>
          <w:b/>
          <w:bCs/>
        </w:rPr>
        <w:t>Four characteristics of the distribution of one quantitative variable:</w:t>
      </w:r>
    </w:p>
    <w:p w14:paraId="441AE3E1" w14:textId="77777777" w:rsidR="001D3604" w:rsidRDefault="00D66F0C">
      <w:pPr>
        <w:pStyle w:val="Compact"/>
        <w:numPr>
          <w:ilvl w:val="0"/>
          <w:numId w:val="6"/>
        </w:numPr>
      </w:pPr>
      <w:r>
        <w:rPr>
          <w:b/>
          <w:bCs/>
        </w:rPr>
        <w:t>Center:</w:t>
      </w:r>
    </w:p>
    <w:p w14:paraId="441AE3E2" w14:textId="77777777" w:rsidR="001D3604" w:rsidRDefault="00D66F0C">
      <w:pPr>
        <w:pStyle w:val="FirstParagraph"/>
      </w:pPr>
      <w:r>
        <w:t xml:space="preserve"> </w:t>
      </w:r>
    </w:p>
    <w:p w14:paraId="441AE3E3" w14:textId="77777777" w:rsidR="001D3604" w:rsidRDefault="00D66F0C">
      <w:pPr>
        <w:pStyle w:val="Compact"/>
        <w:numPr>
          <w:ilvl w:val="0"/>
          <w:numId w:val="7"/>
        </w:numPr>
      </w:pPr>
      <w:r>
        <w:rPr>
          <w:b/>
          <w:bCs/>
        </w:rPr>
        <w:t>Variability:</w:t>
      </w:r>
    </w:p>
    <w:p w14:paraId="441AE3E4" w14:textId="77777777" w:rsidR="001D3604" w:rsidRDefault="00D66F0C">
      <w:pPr>
        <w:pStyle w:val="FirstParagraph"/>
      </w:pPr>
      <w:r>
        <w:t xml:space="preserve"> </w:t>
      </w:r>
    </w:p>
    <w:p w14:paraId="441AE3E5" w14:textId="77777777" w:rsidR="001D3604" w:rsidRDefault="00D66F0C">
      <w:pPr>
        <w:pStyle w:val="Compact"/>
        <w:numPr>
          <w:ilvl w:val="0"/>
          <w:numId w:val="8"/>
        </w:numPr>
      </w:pPr>
      <w:r>
        <w:rPr>
          <w:b/>
          <w:bCs/>
        </w:rPr>
        <w:t>Shape:</w:t>
      </w:r>
    </w:p>
    <w:p w14:paraId="441AE3E6" w14:textId="77777777" w:rsidR="001D3604" w:rsidRDefault="00D66F0C">
      <w:pPr>
        <w:pStyle w:val="FirstParagraph"/>
      </w:pPr>
      <w:r>
        <w:t xml:space="preserve"> </w:t>
      </w:r>
    </w:p>
    <w:p w14:paraId="441AE3E7" w14:textId="77777777" w:rsidR="001D3604" w:rsidRDefault="00D66F0C">
      <w:pPr>
        <w:pStyle w:val="Compact"/>
        <w:numPr>
          <w:ilvl w:val="0"/>
          <w:numId w:val="9"/>
        </w:numPr>
      </w:pPr>
      <w:r>
        <w:rPr>
          <w:b/>
          <w:bCs/>
        </w:rPr>
        <w:t>Outliers:</w:t>
      </w:r>
    </w:p>
    <w:p w14:paraId="441AE3E8" w14:textId="77777777" w:rsidR="001D3604" w:rsidRDefault="00D66F0C">
      <w:pPr>
        <w:pStyle w:val="FirstParagraph"/>
      </w:pPr>
      <w:r>
        <w:t xml:space="preserve"> </w:t>
      </w:r>
    </w:p>
    <w:p w14:paraId="441AE3E9" w14:textId="77777777" w:rsidR="001D3604" w:rsidRDefault="00000000">
      <w:r>
        <w:pict w14:anchorId="441AE440">
          <v:rect id="_x0000_i1027" style="width:0;height:1.5pt" o:hralign="center" o:hrstd="t" o:hr="t"/>
        </w:pict>
      </w:r>
    </w:p>
    <w:p w14:paraId="441AE3EA" w14:textId="77777777" w:rsidR="001D3604" w:rsidRDefault="00D66F0C">
      <w:pPr>
        <w:pStyle w:val="Heading3"/>
      </w:pPr>
      <w:bookmarkStart w:id="6" w:name="Xaf63fb7bd5c4926bbaa5149f14ae1f6e162da76"/>
      <w:bookmarkEnd w:id="4"/>
      <w:bookmarkEnd w:id="5"/>
      <w:r>
        <w:t>Section 5.4: Variance and Standard Deviation</w:t>
      </w:r>
    </w:p>
    <w:p w14:paraId="441AE3EB" w14:textId="77777777" w:rsidR="001D3604" w:rsidRDefault="001D3604">
      <w:pPr>
        <w:pStyle w:val="FirstParagraph"/>
      </w:pPr>
    </w:p>
    <w:p w14:paraId="441AE3EC" w14:textId="77777777" w:rsidR="001D3604" w:rsidRDefault="00D66F0C">
      <w:pPr>
        <w:pStyle w:val="BodyText"/>
      </w:pPr>
      <w:r>
        <w:rPr>
          <w:b/>
          <w:bCs/>
        </w:rPr>
        <w:t>Variability:</w:t>
      </w:r>
    </w:p>
    <w:p w14:paraId="441AE3ED" w14:textId="77777777" w:rsidR="001D3604" w:rsidRDefault="00D66F0C">
      <w:pPr>
        <w:pStyle w:val="BodyText"/>
      </w:pPr>
      <w:r>
        <w:t xml:space="preserve"> </w:t>
      </w:r>
    </w:p>
    <w:p w14:paraId="441AE3EE" w14:textId="77777777" w:rsidR="001D3604" w:rsidRDefault="00D66F0C">
      <w:pPr>
        <w:pStyle w:val="BodyText"/>
      </w:pPr>
      <w:r>
        <w:rPr>
          <w:b/>
          <w:bCs/>
        </w:rPr>
        <w:t>Deviation:</w:t>
      </w:r>
    </w:p>
    <w:p w14:paraId="441AE3EF" w14:textId="77777777" w:rsidR="001D3604" w:rsidRDefault="00D66F0C">
      <w:pPr>
        <w:pStyle w:val="BodyText"/>
      </w:pPr>
      <w:r>
        <w:t xml:space="preserve"> </w:t>
      </w:r>
    </w:p>
    <w:p w14:paraId="441AE3F0" w14:textId="77777777" w:rsidR="001D3604" w:rsidRDefault="00D66F0C">
      <w:pPr>
        <w:pStyle w:val="BodyText"/>
      </w:pPr>
      <w:r>
        <w:rPr>
          <w:b/>
          <w:bCs/>
        </w:rPr>
        <w:t>Variance:</w:t>
      </w:r>
    </w:p>
    <w:p w14:paraId="441AE3F1" w14:textId="77777777" w:rsidR="001D3604" w:rsidRDefault="00D66F0C">
      <w:pPr>
        <w:pStyle w:val="BodyText"/>
      </w:pPr>
      <w:r>
        <w:lastRenderedPageBreak/>
        <w:t xml:space="preserve"> </w:t>
      </w:r>
    </w:p>
    <w:p w14:paraId="441AE3F2" w14:textId="77777777" w:rsidR="001D3604" w:rsidRDefault="00D66F0C">
      <w:pPr>
        <w:pStyle w:val="BodyText"/>
      </w:pPr>
      <w:r>
        <w:rPr>
          <w:b/>
          <w:bCs/>
        </w:rPr>
        <w:t>Standard Deviation:</w:t>
      </w:r>
    </w:p>
    <w:p w14:paraId="441AE3F3" w14:textId="77777777" w:rsidR="001D3604" w:rsidRDefault="00D66F0C">
      <w:pPr>
        <w:pStyle w:val="BodyText"/>
      </w:pPr>
      <w:r>
        <w:t xml:space="preserve"> </w:t>
      </w:r>
    </w:p>
    <w:p w14:paraId="441AE3F4" w14:textId="209FA6AB" w:rsidR="001D3604" w:rsidRDefault="00D66F0C">
      <w:pPr>
        <w:pStyle w:val="BodyText"/>
      </w:pPr>
      <m:oMath>
        <m:r>
          <w:rPr>
            <w:rFonts w:ascii="Cambria Math" w:hAnsi="Cambria Math"/>
          </w:rPr>
          <m:t>σ</m:t>
        </m:r>
      </m:oMath>
      <w:r w:rsidR="00CE0E75">
        <w:rPr>
          <w:rFonts w:eastAsiaTheme="minorEastAsia"/>
        </w:rPr>
        <w:t xml:space="preserve"> </w:t>
      </w:r>
    </w:p>
    <w:p w14:paraId="441AE3F5" w14:textId="77777777" w:rsidR="001D3604" w:rsidRDefault="00D66F0C">
      <w:pPr>
        <w:pStyle w:val="BodyText"/>
      </w:pPr>
      <w:r>
        <w:t xml:space="preserve"> </w:t>
      </w:r>
    </w:p>
    <w:p w14:paraId="441AE3F6" w14:textId="77777777" w:rsidR="001D3604" w:rsidRDefault="00000000">
      <w:r>
        <w:pict w14:anchorId="441AE441">
          <v:rect id="_x0000_i1028" style="width:0;height:1.5pt" o:hralign="center" o:hrstd="t" o:hr="t"/>
        </w:pict>
      </w:r>
    </w:p>
    <w:p w14:paraId="441AE3F7" w14:textId="77777777" w:rsidR="001D3604" w:rsidRDefault="00D66F0C">
      <w:pPr>
        <w:pStyle w:val="Heading3"/>
      </w:pPr>
      <w:bookmarkStart w:id="7" w:name="Xc4cc79e0a6d798d1682315b1b02fd6236948629"/>
      <w:bookmarkEnd w:id="6"/>
      <w:r>
        <w:t>Section 5.5: Boxplots, Quartiles &amp; The Median</w:t>
      </w:r>
    </w:p>
    <w:p w14:paraId="441AE3F8" w14:textId="77777777" w:rsidR="001D3604" w:rsidRDefault="001D3604">
      <w:pPr>
        <w:pStyle w:val="FirstParagraph"/>
      </w:pPr>
    </w:p>
    <w:p w14:paraId="441AE3F9" w14:textId="77777777" w:rsidR="001D3604" w:rsidRDefault="00D66F0C">
      <w:pPr>
        <w:pStyle w:val="BodyText"/>
      </w:pPr>
      <w:r>
        <w:rPr>
          <w:b/>
          <w:bCs/>
        </w:rPr>
        <w:t>Boxplot:</w:t>
      </w:r>
    </w:p>
    <w:p w14:paraId="441AE3FA" w14:textId="77777777" w:rsidR="001D3604" w:rsidRDefault="00D66F0C">
      <w:pPr>
        <w:pStyle w:val="BodyText"/>
      </w:pPr>
      <w:r>
        <w:t xml:space="preserve"> </w:t>
      </w:r>
    </w:p>
    <w:p w14:paraId="441AE3FB" w14:textId="77777777" w:rsidR="001D3604" w:rsidRDefault="00D66F0C">
      <w:pPr>
        <w:pStyle w:val="BodyText"/>
      </w:pPr>
      <w:r>
        <w:rPr>
          <w:b/>
          <w:bCs/>
        </w:rPr>
        <w:t>Median:</w:t>
      </w:r>
    </w:p>
    <w:p w14:paraId="441AE3FC" w14:textId="77777777" w:rsidR="001D3604" w:rsidRDefault="00D66F0C">
      <w:pPr>
        <w:pStyle w:val="BodyText"/>
      </w:pPr>
      <w:r>
        <w:t xml:space="preserve"> </w:t>
      </w:r>
    </w:p>
    <w:p w14:paraId="441AE3FD" w14:textId="77777777" w:rsidR="001D3604" w:rsidRDefault="00D66F0C">
      <w:pPr>
        <w:pStyle w:val="BodyText"/>
      </w:pPr>
      <w:r>
        <w:rPr>
          <w:b/>
          <w:bCs/>
        </w:rPr>
        <w:t>Inner Quartile Range (IQR):</w:t>
      </w:r>
    </w:p>
    <w:p w14:paraId="441AE3FE" w14:textId="77777777" w:rsidR="001D3604" w:rsidRDefault="00D66F0C">
      <w:pPr>
        <w:pStyle w:val="BodyText"/>
      </w:pPr>
      <w:r>
        <w:t xml:space="preserve"> </w:t>
      </w:r>
    </w:p>
    <w:p w14:paraId="441AE3FF" w14:textId="77777777" w:rsidR="001D3604" w:rsidRDefault="00D66F0C">
      <w:pPr>
        <w:pStyle w:val="BodyText"/>
      </w:pPr>
      <w:r>
        <w:rPr>
          <w:b/>
          <w:bCs/>
        </w:rPr>
        <w:t>First Quartile (Q1):</w:t>
      </w:r>
    </w:p>
    <w:p w14:paraId="441AE400" w14:textId="77777777" w:rsidR="001D3604" w:rsidRDefault="00D66F0C">
      <w:pPr>
        <w:pStyle w:val="BodyText"/>
      </w:pPr>
      <w:r>
        <w:t xml:space="preserve"> </w:t>
      </w:r>
    </w:p>
    <w:p w14:paraId="441AE401" w14:textId="77777777" w:rsidR="001D3604" w:rsidRDefault="00D66F0C">
      <w:pPr>
        <w:pStyle w:val="BodyText"/>
      </w:pPr>
      <w:r>
        <w:rPr>
          <w:b/>
          <w:bCs/>
        </w:rPr>
        <w:t>Third Quartile (Q3):</w:t>
      </w:r>
    </w:p>
    <w:p w14:paraId="441AE402" w14:textId="77777777" w:rsidR="001D3604" w:rsidRDefault="00D66F0C">
      <w:pPr>
        <w:pStyle w:val="BodyText"/>
      </w:pPr>
      <w:r>
        <w:t xml:space="preserve"> </w:t>
      </w:r>
    </w:p>
    <w:p w14:paraId="441AE403" w14:textId="77777777" w:rsidR="001D3604" w:rsidRDefault="00D66F0C">
      <w:pPr>
        <w:pStyle w:val="BodyText"/>
      </w:pPr>
      <w:r>
        <w:rPr>
          <w:b/>
          <w:bCs/>
        </w:rPr>
        <w:t>Percentile:</w:t>
      </w:r>
    </w:p>
    <w:p w14:paraId="441AE404" w14:textId="77777777" w:rsidR="001D3604" w:rsidRDefault="00D66F0C">
      <w:pPr>
        <w:pStyle w:val="BodyText"/>
      </w:pPr>
      <w:r>
        <w:t xml:space="preserve"> </w:t>
      </w:r>
    </w:p>
    <w:p w14:paraId="441AE405" w14:textId="77777777" w:rsidR="001D3604" w:rsidRDefault="00D66F0C">
      <w:pPr>
        <w:pStyle w:val="BodyText"/>
      </w:pPr>
      <w:r>
        <w:rPr>
          <w:b/>
          <w:bCs/>
        </w:rPr>
        <w:t>Whiskers:</w:t>
      </w:r>
    </w:p>
    <w:p w14:paraId="441AE406" w14:textId="77777777" w:rsidR="001D3604" w:rsidRDefault="00D66F0C">
      <w:pPr>
        <w:pStyle w:val="BodyText"/>
      </w:pPr>
      <w:r>
        <w:t xml:space="preserve"> </w:t>
      </w:r>
    </w:p>
    <w:p w14:paraId="441AE407" w14:textId="77777777" w:rsidR="001D3604" w:rsidRDefault="00D66F0C">
      <w:pPr>
        <w:pStyle w:val="BodyText"/>
      </w:pPr>
      <w:r>
        <w:rPr>
          <w:b/>
          <w:bCs/>
        </w:rPr>
        <w:t>Outliers:</w:t>
      </w:r>
    </w:p>
    <w:p w14:paraId="441AE408" w14:textId="77777777" w:rsidR="001D3604" w:rsidRDefault="00D66F0C">
      <w:pPr>
        <w:pStyle w:val="BodyText"/>
      </w:pPr>
      <w:r>
        <w:t xml:space="preserve"> </w:t>
      </w:r>
    </w:p>
    <w:p w14:paraId="441AE409" w14:textId="77777777" w:rsidR="001D3604" w:rsidRDefault="00D66F0C">
      <w:pPr>
        <w:pStyle w:val="Heading4"/>
      </w:pPr>
      <w:bookmarkStart w:id="8" w:name="notes-2"/>
      <w:r>
        <w:t>Notes:</w:t>
      </w:r>
    </w:p>
    <w:p w14:paraId="441AE40A" w14:textId="77777777" w:rsidR="001D3604" w:rsidRDefault="00D66F0C">
      <w:pPr>
        <w:pStyle w:val="FirstParagraph"/>
      </w:pPr>
      <w:r>
        <w:rPr>
          <w:b/>
          <w:bCs/>
          <w:i/>
          <w:iCs/>
        </w:rPr>
        <w:t>How are outliers denoted on a box plot? How can you mathematically determine if a data set has outliers?</w:t>
      </w:r>
    </w:p>
    <w:p w14:paraId="441AE40B" w14:textId="77777777" w:rsidR="001D3604" w:rsidRDefault="00D66F0C">
      <w:pPr>
        <w:pStyle w:val="BodyText"/>
      </w:pPr>
      <w:r>
        <w:t xml:space="preserve">  </w:t>
      </w:r>
    </w:p>
    <w:p w14:paraId="441AE40C" w14:textId="77777777" w:rsidR="001D3604" w:rsidRDefault="00000000">
      <w:r>
        <w:lastRenderedPageBreak/>
        <w:pict w14:anchorId="441AE442">
          <v:rect id="_x0000_i1029" style="width:0;height:1.5pt" o:hralign="center" o:hrstd="t" o:hr="t"/>
        </w:pict>
      </w:r>
    </w:p>
    <w:p w14:paraId="441AE40D" w14:textId="77777777" w:rsidR="001D3604" w:rsidRDefault="00D66F0C">
      <w:pPr>
        <w:pStyle w:val="Heading3"/>
      </w:pPr>
      <w:bookmarkStart w:id="9" w:name="section-5.6-robust-statistics"/>
      <w:bookmarkEnd w:id="7"/>
      <w:bookmarkEnd w:id="8"/>
      <w:r>
        <w:t>Section 5.6: Robust Statistics</w:t>
      </w:r>
    </w:p>
    <w:p w14:paraId="441AE40E" w14:textId="77777777" w:rsidR="001D3604" w:rsidRDefault="001D3604">
      <w:pPr>
        <w:pStyle w:val="FirstParagraph"/>
      </w:pPr>
    </w:p>
    <w:p w14:paraId="441AE40F" w14:textId="77777777" w:rsidR="001D3604" w:rsidRDefault="00D66F0C">
      <w:pPr>
        <w:pStyle w:val="BodyText"/>
      </w:pPr>
      <w:r>
        <w:rPr>
          <w:b/>
          <w:bCs/>
        </w:rPr>
        <w:t>Sample Statistic:</w:t>
      </w:r>
    </w:p>
    <w:p w14:paraId="441AE410" w14:textId="77777777" w:rsidR="001D3604" w:rsidRDefault="00D66F0C">
      <w:pPr>
        <w:pStyle w:val="BodyText"/>
      </w:pPr>
      <w:r>
        <w:t xml:space="preserve"> </w:t>
      </w:r>
    </w:p>
    <w:p w14:paraId="441AE411" w14:textId="77777777" w:rsidR="001D3604" w:rsidRDefault="00D66F0C">
      <w:pPr>
        <w:pStyle w:val="BodyText"/>
      </w:pPr>
      <w:r>
        <w:rPr>
          <w:b/>
          <w:bCs/>
        </w:rPr>
        <w:t>Robust Statistics:</w:t>
      </w:r>
    </w:p>
    <w:p w14:paraId="441AE412" w14:textId="77777777" w:rsidR="001D3604" w:rsidRDefault="00D66F0C">
      <w:pPr>
        <w:pStyle w:val="BodyText"/>
      </w:pPr>
      <w:r>
        <w:t xml:space="preserve"> </w:t>
      </w:r>
    </w:p>
    <w:p w14:paraId="441AE413" w14:textId="77777777" w:rsidR="001D3604" w:rsidRDefault="00D66F0C">
      <w:pPr>
        <w:pStyle w:val="Heading4"/>
      </w:pPr>
      <w:bookmarkStart w:id="10" w:name="notes-3"/>
      <w:r>
        <w:t>Notes:</w:t>
      </w:r>
    </w:p>
    <w:p w14:paraId="441AE414" w14:textId="77777777" w:rsidR="001D3604" w:rsidRDefault="00D66F0C">
      <w:pPr>
        <w:pStyle w:val="FirstParagraph"/>
      </w:pPr>
      <w:r>
        <w:rPr>
          <w:b/>
          <w:bCs/>
          <w:i/>
          <w:iCs/>
        </w:rPr>
        <w:t>What are the two ways to measure the ‘center’ of a distribution? Which one is considered robust to skew/outliers?</w:t>
      </w:r>
    </w:p>
    <w:p w14:paraId="441AE415" w14:textId="77777777" w:rsidR="001D3604" w:rsidRDefault="00D66F0C">
      <w:pPr>
        <w:pStyle w:val="BodyText"/>
      </w:pPr>
      <w:r>
        <w:t xml:space="preserve">  </w:t>
      </w:r>
    </w:p>
    <w:p w14:paraId="441AE416" w14:textId="77777777" w:rsidR="001D3604" w:rsidRDefault="00D66F0C">
      <w:pPr>
        <w:pStyle w:val="BodyText"/>
      </w:pPr>
      <w:r>
        <w:rPr>
          <w:b/>
          <w:bCs/>
          <w:i/>
          <w:iCs/>
        </w:rPr>
        <w:t>What are the three ways to measure the ‘variability’ of a distribution? Which one is considered robust to skew/outliers?</w:t>
      </w:r>
    </w:p>
    <w:p w14:paraId="441AE417" w14:textId="77777777" w:rsidR="001D3604" w:rsidRDefault="00D66F0C">
      <w:pPr>
        <w:pStyle w:val="BodyText"/>
      </w:pPr>
      <w:r>
        <w:t xml:space="preserve">  </w:t>
      </w:r>
    </w:p>
    <w:p w14:paraId="441AE418" w14:textId="77777777" w:rsidR="001D3604" w:rsidRDefault="00000000">
      <w:r>
        <w:pict w14:anchorId="441AE443">
          <v:rect id="_x0000_i1030" style="width:0;height:1.5pt" o:hralign="center" o:hrstd="t" o:hr="t"/>
        </w:pict>
      </w:r>
    </w:p>
    <w:p w14:paraId="441AE419" w14:textId="77777777" w:rsidR="001D3604" w:rsidRDefault="00D66F0C">
      <w:pPr>
        <w:pStyle w:val="Heading3"/>
      </w:pPr>
      <w:bookmarkStart w:id="11" w:name="section-5.7-transforming-data"/>
      <w:bookmarkEnd w:id="9"/>
      <w:bookmarkEnd w:id="10"/>
      <w:r>
        <w:t>Section 5.7: Transforming Data</w:t>
      </w:r>
    </w:p>
    <w:p w14:paraId="441AE41A" w14:textId="77777777" w:rsidR="001D3604" w:rsidRDefault="001D3604">
      <w:pPr>
        <w:pStyle w:val="FirstParagraph"/>
      </w:pPr>
    </w:p>
    <w:p w14:paraId="441AE41B" w14:textId="77777777" w:rsidR="001D3604" w:rsidRDefault="00D66F0C">
      <w:pPr>
        <w:pStyle w:val="BodyText"/>
      </w:pPr>
      <w:r>
        <w:rPr>
          <w:b/>
          <w:bCs/>
        </w:rPr>
        <w:t>Transformation:</w:t>
      </w:r>
    </w:p>
    <w:p w14:paraId="441AE41C" w14:textId="77777777" w:rsidR="001D3604" w:rsidRDefault="00D66F0C">
      <w:pPr>
        <w:pStyle w:val="BodyText"/>
      </w:pPr>
      <w:r>
        <w:t xml:space="preserve"> </w:t>
      </w:r>
    </w:p>
    <w:p w14:paraId="441AE41D" w14:textId="77777777" w:rsidR="001D3604" w:rsidRDefault="00000000">
      <w:r>
        <w:pict w14:anchorId="441AE444">
          <v:rect id="_x0000_i1031" style="width:0;height:1.5pt" o:hralign="center" o:hrstd="t" o:hr="t"/>
        </w:pict>
      </w:r>
    </w:p>
    <w:p w14:paraId="441AE41E" w14:textId="77777777" w:rsidR="001D3604" w:rsidRDefault="00D66F0C">
      <w:pPr>
        <w:pStyle w:val="Heading3"/>
      </w:pPr>
      <w:bookmarkStart w:id="12" w:name="wrap-up"/>
      <w:bookmarkEnd w:id="11"/>
      <w:r>
        <w:t>Wrap-up</w:t>
      </w:r>
    </w:p>
    <w:p w14:paraId="441AE41F" w14:textId="77777777" w:rsidR="001D3604" w:rsidRDefault="001D3604">
      <w:pPr>
        <w:pStyle w:val="FirstParagraph"/>
      </w:pPr>
    </w:p>
    <w:p w14:paraId="441AE420" w14:textId="77777777" w:rsidR="001D3604" w:rsidRDefault="00D66F0C">
      <w:pPr>
        <w:pStyle w:val="BodyText"/>
      </w:pPr>
      <w:r>
        <w:rPr>
          <w:b/>
          <w:bCs/>
          <w:i/>
          <w:iCs/>
        </w:rPr>
        <w:t>What type of plot(s) are appropriate for displaying one quantitative variable?</w:t>
      </w:r>
    </w:p>
    <w:p w14:paraId="441AE421" w14:textId="77777777" w:rsidR="001D3604" w:rsidRDefault="00D66F0C">
      <w:pPr>
        <w:pStyle w:val="BodyText"/>
      </w:pPr>
      <w:r>
        <w:t xml:space="preserve"> </w:t>
      </w:r>
    </w:p>
    <w:p w14:paraId="441AE422" w14:textId="77777777" w:rsidR="001D3604" w:rsidRDefault="00D66F0C">
      <w:pPr>
        <w:pStyle w:val="BodyText"/>
      </w:pPr>
      <w:r>
        <w:rPr>
          <w:b/>
          <w:bCs/>
          <w:i/>
          <w:iCs/>
        </w:rPr>
        <w:t>What type of plot(s) are appropriate for displaying two quantitative variables?</w:t>
      </w:r>
    </w:p>
    <w:p w14:paraId="441AE423" w14:textId="77777777" w:rsidR="001D3604" w:rsidRDefault="00D66F0C">
      <w:pPr>
        <w:pStyle w:val="BodyText"/>
      </w:pPr>
      <w:r>
        <w:t xml:space="preserve"> </w:t>
      </w:r>
    </w:p>
    <w:p w14:paraId="441AE424" w14:textId="77777777" w:rsidR="001D3604" w:rsidRDefault="00D66F0C">
      <w:pPr>
        <w:pStyle w:val="BodyText"/>
      </w:pPr>
      <w:r>
        <w:rPr>
          <w:b/>
          <w:bCs/>
          <w:i/>
          <w:iCs/>
        </w:rPr>
        <w:t>How are variance and standard deviation related?</w:t>
      </w:r>
    </w:p>
    <w:p w14:paraId="441AE425" w14:textId="3F9AC69F" w:rsidR="001D3604" w:rsidRDefault="00D66F0C">
      <w:pPr>
        <w:pStyle w:val="BodyText"/>
      </w:pPr>
      <w:r>
        <w:t xml:space="preserve"> </w:t>
      </w:r>
    </w:p>
    <w:p w14:paraId="441AE426" w14:textId="77777777" w:rsidR="001D3604" w:rsidRDefault="00D66F0C">
      <w:pPr>
        <w:pStyle w:val="BodyText"/>
      </w:pPr>
      <w:r>
        <w:rPr>
          <w:b/>
          <w:bCs/>
          <w:i/>
          <w:iCs/>
        </w:rPr>
        <w:lastRenderedPageBreak/>
        <w:t>Fill in the following table with the appropriate notation.</w:t>
      </w:r>
    </w:p>
    <w:tbl>
      <w:tblPr>
        <w:tblStyle w:val="Table"/>
        <w:tblW w:w="8785" w:type="dxa"/>
        <w:tblLook w:val="0020" w:firstRow="1" w:lastRow="0" w:firstColumn="0" w:lastColumn="0" w:noHBand="0" w:noVBand="0"/>
      </w:tblPr>
      <w:tblGrid>
        <w:gridCol w:w="4225"/>
        <w:gridCol w:w="2535"/>
        <w:gridCol w:w="2025"/>
      </w:tblGrid>
      <w:tr w:rsidR="001D3604" w14:paraId="441AE42A" w14:textId="77777777" w:rsidTr="004956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  <w:tblHeader/>
        </w:trPr>
        <w:tc>
          <w:tcPr>
            <w:tcW w:w="0" w:type="auto"/>
          </w:tcPr>
          <w:p w14:paraId="441AE427" w14:textId="77777777" w:rsidR="001D3604" w:rsidRDefault="00D66F0C">
            <w:pPr>
              <w:pStyle w:val="Compact"/>
              <w:jc w:val="center"/>
            </w:pPr>
            <w:r>
              <w:t>Summary Measure</w:t>
            </w:r>
          </w:p>
        </w:tc>
        <w:tc>
          <w:tcPr>
            <w:tcW w:w="0" w:type="auto"/>
          </w:tcPr>
          <w:p w14:paraId="441AE428" w14:textId="77777777" w:rsidR="001D3604" w:rsidRDefault="00D66F0C">
            <w:pPr>
              <w:pStyle w:val="Compact"/>
              <w:jc w:val="center"/>
            </w:pPr>
            <w:r>
              <w:t>Parameter</w:t>
            </w:r>
          </w:p>
        </w:tc>
        <w:tc>
          <w:tcPr>
            <w:tcW w:w="0" w:type="auto"/>
          </w:tcPr>
          <w:p w14:paraId="441AE429" w14:textId="77777777" w:rsidR="001D3604" w:rsidRDefault="00D66F0C">
            <w:pPr>
              <w:pStyle w:val="Compact"/>
              <w:jc w:val="center"/>
            </w:pPr>
            <w:r>
              <w:t>Statistic</w:t>
            </w:r>
          </w:p>
        </w:tc>
      </w:tr>
      <w:tr w:rsidR="001D3604" w14:paraId="441AE42E" w14:textId="77777777" w:rsidTr="004956AB">
        <w:trPr>
          <w:trHeight w:val="394"/>
        </w:trPr>
        <w:tc>
          <w:tcPr>
            <w:tcW w:w="0" w:type="auto"/>
          </w:tcPr>
          <w:p w14:paraId="441AE42B" w14:textId="77777777" w:rsidR="001D3604" w:rsidRDefault="00D66F0C">
            <w:pPr>
              <w:pStyle w:val="Compact"/>
              <w:jc w:val="center"/>
            </w:pPr>
            <w:r>
              <w:t>Mean</w:t>
            </w:r>
          </w:p>
        </w:tc>
        <w:tc>
          <w:tcPr>
            <w:tcW w:w="0" w:type="auto"/>
          </w:tcPr>
          <w:p w14:paraId="441AE42C" w14:textId="77777777" w:rsidR="001D3604" w:rsidRDefault="001D3604">
            <w:pPr>
              <w:pStyle w:val="Compact"/>
            </w:pPr>
          </w:p>
        </w:tc>
        <w:tc>
          <w:tcPr>
            <w:tcW w:w="0" w:type="auto"/>
          </w:tcPr>
          <w:p w14:paraId="441AE42D" w14:textId="77777777" w:rsidR="001D3604" w:rsidRDefault="001D3604">
            <w:pPr>
              <w:pStyle w:val="Compact"/>
              <w:jc w:val="center"/>
            </w:pPr>
          </w:p>
        </w:tc>
      </w:tr>
      <w:tr w:rsidR="001D3604" w14:paraId="441AE432" w14:textId="77777777" w:rsidTr="004956AB">
        <w:trPr>
          <w:trHeight w:val="381"/>
        </w:trPr>
        <w:tc>
          <w:tcPr>
            <w:tcW w:w="0" w:type="auto"/>
          </w:tcPr>
          <w:p w14:paraId="441AE42F" w14:textId="77777777" w:rsidR="001D3604" w:rsidRDefault="00D66F0C">
            <w:pPr>
              <w:pStyle w:val="Compact"/>
              <w:jc w:val="center"/>
            </w:pPr>
            <w:r>
              <w:t>Variance</w:t>
            </w:r>
          </w:p>
        </w:tc>
        <w:tc>
          <w:tcPr>
            <w:tcW w:w="0" w:type="auto"/>
          </w:tcPr>
          <w:p w14:paraId="441AE430" w14:textId="77777777" w:rsidR="001D3604" w:rsidRDefault="001D3604">
            <w:pPr>
              <w:pStyle w:val="Compact"/>
            </w:pPr>
          </w:p>
        </w:tc>
        <w:tc>
          <w:tcPr>
            <w:tcW w:w="0" w:type="auto"/>
          </w:tcPr>
          <w:p w14:paraId="441AE431" w14:textId="77777777" w:rsidR="001D3604" w:rsidRDefault="001D3604">
            <w:pPr>
              <w:pStyle w:val="Compact"/>
              <w:jc w:val="center"/>
            </w:pPr>
          </w:p>
        </w:tc>
      </w:tr>
      <w:tr w:rsidR="001D3604" w14:paraId="441AE436" w14:textId="77777777" w:rsidTr="004956AB">
        <w:trPr>
          <w:trHeight w:val="394"/>
        </w:trPr>
        <w:tc>
          <w:tcPr>
            <w:tcW w:w="0" w:type="auto"/>
          </w:tcPr>
          <w:p w14:paraId="441AE433" w14:textId="77777777" w:rsidR="001D3604" w:rsidRDefault="00D66F0C">
            <w:pPr>
              <w:pStyle w:val="Compact"/>
              <w:jc w:val="center"/>
            </w:pPr>
            <w:r>
              <w:t>Standard deviation</w:t>
            </w:r>
          </w:p>
        </w:tc>
        <w:tc>
          <w:tcPr>
            <w:tcW w:w="0" w:type="auto"/>
          </w:tcPr>
          <w:p w14:paraId="441AE434" w14:textId="77777777" w:rsidR="001D3604" w:rsidRDefault="001D3604">
            <w:pPr>
              <w:pStyle w:val="Compact"/>
            </w:pPr>
          </w:p>
        </w:tc>
        <w:tc>
          <w:tcPr>
            <w:tcW w:w="0" w:type="auto"/>
          </w:tcPr>
          <w:p w14:paraId="441AE435" w14:textId="77777777" w:rsidR="001D3604" w:rsidRDefault="001D3604">
            <w:pPr>
              <w:pStyle w:val="Compact"/>
              <w:jc w:val="center"/>
            </w:pPr>
          </w:p>
        </w:tc>
      </w:tr>
      <w:tr w:rsidR="001D3604" w14:paraId="441AE43A" w14:textId="77777777" w:rsidTr="004956AB">
        <w:trPr>
          <w:trHeight w:val="381"/>
        </w:trPr>
        <w:tc>
          <w:tcPr>
            <w:tcW w:w="0" w:type="auto"/>
          </w:tcPr>
          <w:p w14:paraId="441AE437" w14:textId="77777777" w:rsidR="001D3604" w:rsidRDefault="001D3604">
            <w:pPr>
              <w:pStyle w:val="Compact"/>
            </w:pPr>
          </w:p>
        </w:tc>
        <w:tc>
          <w:tcPr>
            <w:tcW w:w="0" w:type="auto"/>
          </w:tcPr>
          <w:p w14:paraId="441AE438" w14:textId="77777777" w:rsidR="001D3604" w:rsidRDefault="001D3604">
            <w:pPr>
              <w:pStyle w:val="Compact"/>
            </w:pPr>
          </w:p>
        </w:tc>
        <w:tc>
          <w:tcPr>
            <w:tcW w:w="0" w:type="auto"/>
          </w:tcPr>
          <w:p w14:paraId="441AE439" w14:textId="77777777" w:rsidR="001D3604" w:rsidRDefault="001D3604">
            <w:pPr>
              <w:pStyle w:val="Compact"/>
            </w:pPr>
          </w:p>
        </w:tc>
      </w:tr>
    </w:tbl>
    <w:p w14:paraId="441AE43B" w14:textId="77777777" w:rsidR="001D3604" w:rsidRDefault="001D3604">
      <w:pPr>
        <w:pStyle w:val="BodyText"/>
      </w:pPr>
    </w:p>
    <w:p w14:paraId="441AE43C" w14:textId="77777777" w:rsidR="001D3604" w:rsidRDefault="00D66F0C">
      <w:pPr>
        <w:pStyle w:val="BodyText"/>
      </w:pPr>
      <w:r>
        <w:rPr>
          <w:b/>
          <w:bCs/>
          <w:i/>
          <w:iCs/>
        </w:rPr>
        <w:t>Statistics summarize _____________ .</w:t>
      </w:r>
    </w:p>
    <w:p w14:paraId="441AE43D" w14:textId="77777777" w:rsidR="001D3604" w:rsidRDefault="00D66F0C">
      <w:pPr>
        <w:pStyle w:val="BodyText"/>
      </w:pPr>
      <w:r>
        <w:rPr>
          <w:b/>
          <w:bCs/>
          <w:i/>
          <w:iCs/>
        </w:rPr>
        <w:t>Parameters summarize _____________.</w:t>
      </w:r>
      <w:bookmarkEnd w:id="0"/>
      <w:bookmarkEnd w:id="12"/>
    </w:p>
    <w:sectPr w:rsidR="001D360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7B88B8" w14:textId="77777777" w:rsidR="00D024FE" w:rsidRDefault="00D024FE">
      <w:pPr>
        <w:spacing w:after="0"/>
      </w:pPr>
      <w:r>
        <w:separator/>
      </w:r>
    </w:p>
  </w:endnote>
  <w:endnote w:type="continuationSeparator" w:id="0">
    <w:p w14:paraId="69E1FC9F" w14:textId="77777777" w:rsidR="00D024FE" w:rsidRDefault="00D024F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351A1" w14:textId="77777777" w:rsidR="00D024FE" w:rsidRDefault="00D024FE">
      <w:r>
        <w:separator/>
      </w:r>
    </w:p>
  </w:footnote>
  <w:footnote w:type="continuationSeparator" w:id="0">
    <w:p w14:paraId="044E6231" w14:textId="77777777" w:rsidR="00D024FE" w:rsidRDefault="00D02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D365D5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72E9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54160373">
    <w:abstractNumId w:val="0"/>
  </w:num>
  <w:num w:numId="2" w16cid:durableId="1191339901">
    <w:abstractNumId w:val="1"/>
  </w:num>
  <w:num w:numId="3" w16cid:durableId="1325353917">
    <w:abstractNumId w:val="1"/>
  </w:num>
  <w:num w:numId="4" w16cid:durableId="1884637021">
    <w:abstractNumId w:val="1"/>
  </w:num>
  <w:num w:numId="5" w16cid:durableId="970406166">
    <w:abstractNumId w:val="1"/>
  </w:num>
  <w:num w:numId="6" w16cid:durableId="1191409826">
    <w:abstractNumId w:val="1"/>
  </w:num>
  <w:num w:numId="7" w16cid:durableId="19204843">
    <w:abstractNumId w:val="1"/>
  </w:num>
  <w:num w:numId="8" w16cid:durableId="642543863">
    <w:abstractNumId w:val="1"/>
  </w:num>
  <w:num w:numId="9" w16cid:durableId="141481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04"/>
    <w:rsid w:val="001D3604"/>
    <w:rsid w:val="004956AB"/>
    <w:rsid w:val="00A5104F"/>
    <w:rsid w:val="00CE0E75"/>
    <w:rsid w:val="00D024FE"/>
    <w:rsid w:val="00D66F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AE3A3"/>
  <w15:docId w15:val="{511BA3F6-F6E8-4C35-A570-56E40E3C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Reading Guide</dc:title>
  <dc:creator>Emily Anna Robinson</dc:creator>
  <cp:keywords/>
  <cp:lastModifiedBy>Emily Anna Robinson</cp:lastModifiedBy>
  <cp:revision>4</cp:revision>
  <dcterms:created xsi:type="dcterms:W3CDTF">2022-09-19T17:02:00Z</dcterms:created>
  <dcterms:modified xsi:type="dcterms:W3CDTF">2022-09-19T17:47:00Z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