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0.png" ContentType="image/png"/>
  <Override PartName="/word/media/rId61.png" ContentType="image/png"/>
  <Override PartName="/word/media/rId56.png" ContentType="image/png"/>
  <Override PartName="/word/media/rId43.png" ContentType="image/png"/>
  <Override PartName="/word/media/rId52.png" ContentType="image/png"/>
  <Override PartName="/word/media/rId49.png" ContentType="image/png"/>
  <Override PartName="/word/media/rId4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Introduction</w:t>
      </w:r>
      <w:r>
        <w:t xml:space="preserve"> </w:t>
      </w:r>
      <w:r>
        <w:t xml:space="preserve">to</w:t>
      </w:r>
      <w:r>
        <w:t xml:space="preserve"> </w:t>
      </w:r>
      <w:r>
        <w:t xml:space="preserve">Statistical</w:t>
      </w:r>
      <w:r>
        <w:t xml:space="preserve"> </w:t>
      </w:r>
      <w:r>
        <w:t xml:space="preserve">Thinking</w:t>
      </w:r>
      <w:r>
        <w:t xml:space="preserve"> </w:t>
      </w:r>
      <w:r>
        <w:t xml:space="preserve">and</w:t>
      </w:r>
      <w:r>
        <w:t xml:space="preserve"> </w:t>
      </w:r>
      <w:r>
        <w:t xml:space="preserve">Data</w:t>
      </w:r>
    </w:p>
    <w:p>
      <w:pPr>
        <w:pStyle w:val="FirstParagraph"/>
      </w:pPr>
      <w:r>
        <w:t xml:space="preserve">In the previous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Style w:val="Compact"/>
            </w:pPr>
            <w:r>
              <w:rPr>
                <w:bCs/>
                <w:b/>
              </w:rPr>
              <w:t xml:space="preserve">Statistics:</w:t>
            </w:r>
          </w:p>
          <w:p>
            <w:pPr>
              <w:numPr>
                <w:ilvl w:val="0"/>
                <w:numId w:val="1002"/>
              </w:numPr>
            </w:pPr>
            <w:r>
              <w:rPr>
                <w:bCs/>
                <w:b/>
              </w:rPr>
              <w:t xml:space="preserve">Categorical (or qualitative) data:</w:t>
            </w:r>
            <w:r>
              <w:t xml:space="preserve"> </w:t>
            </w:r>
            <w:r>
              <w:t xml:space="preserve">Measurements that are classified into one of a group of categories.</w:t>
            </w:r>
          </w:p>
          <w:p>
            <w:pPr>
              <w:numPr>
                <w:ilvl w:val="0"/>
                <w:numId w:val="1002"/>
              </w:numPr>
            </w:pPr>
            <w:r>
              <w:rPr>
                <w:bCs/>
                <w:b/>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numPr>
                <w:ilvl w:val="0"/>
                <w:numId w:val="1003"/>
              </w:numPr>
              <w:pStyle w:val="Compact"/>
            </w:pPr>
            <w:r>
              <w:rPr>
                <w:bCs/>
                <w:b/>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Cs/>
                <w:b/>
              </w:rPr>
              <w:t xml:space="preserve">Sample:</w:t>
            </w:r>
            <w:r>
              <w:t xml:space="preserve"> </w:t>
            </w:r>
            <w:r>
              <w:t xml:space="preserve">A subcollection of elements drawn from a population. The number of elements drawn is called the</w:t>
            </w:r>
            <w:r>
              <w:t xml:space="preserve"> </w:t>
            </w:r>
            <w:r>
              <w:rPr>
                <w:bCs/>
                <w:b/>
              </w:rPr>
              <w:t xml:space="preserve">Sample Size</w:t>
            </w:r>
            <w:r>
              <w:t xml:space="preserve">.</w:t>
            </w:r>
          </w:p>
          <w:p>
            <w:pPr>
              <w:numPr>
                <w:ilvl w:val="0"/>
                <w:numId w:val="1004"/>
              </w:numPr>
            </w:pPr>
            <w:r>
              <w:rPr>
                <w:bCs/>
                <w:b/>
              </w:rPr>
              <w:t xml:space="preserve">Observation:</w:t>
            </w:r>
            <w:r>
              <w:t xml:space="preserve"> </w:t>
            </w:r>
            <w:r>
              <w:t xml:space="preserve">The collection of measurements from a particular unit in a sample.</w:t>
            </w:r>
          </w:p>
          <w:p>
            <w:pPr>
              <w:numPr>
                <w:ilvl w:val="0"/>
                <w:numId w:val="1004"/>
              </w:numPr>
            </w:pPr>
            <w:r>
              <w:rPr>
                <w:bCs/>
                <w:b/>
              </w:rPr>
              <w:t xml:space="preserve">Variable:</w:t>
            </w:r>
            <w:r>
              <w:t xml:space="preserve"> </w:t>
            </w:r>
            <w:r>
              <w:t xml:space="preserve">Any measurable characteristic of an observation.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464963"/>
                        <wp:effectExtent b="0" l="0" r="0" t="0"/>
                        <wp:docPr descr="" title="" id="24" name="Picture"/>
                        <a:graphic>
                          <a:graphicData uri="http://schemas.openxmlformats.org/drawingml/2006/picture">
                            <pic:pic>
                              <pic:nvPicPr>
                                <pic:cNvPr descr="01-images//population-sample.png" id="25" name="Picture"/>
                                <pic:cNvPicPr>
                                  <a:picLocks noChangeArrowheads="1" noChangeAspect="1"/>
                                </pic:cNvPicPr>
                              </pic:nvPicPr>
                              <pic:blipFill>
                                <a:blip r:embed="rId23"/>
                                <a:stretch>
                                  <a:fillRect/>
                                </a:stretch>
                              </pic:blipFill>
                              <pic:spPr bwMode="auto">
                                <a:xfrm>
                                  <a:off x="0" y="0"/>
                                  <a:ext cx="4267200" cy="246496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3" w:name="example-1.1-alleged-hearing-loss"/>
    <w:p>
      <w:pPr>
        <w:pStyle w:val="Heading2"/>
      </w:pPr>
      <w:r>
        <w:t xml:space="preserve">Example 1.1 Alleged Hearing Loss</w:t>
      </w:r>
    </w:p>
    <w:p>
      <w:pPr>
        <w:pStyle w:val="FirstParagraph"/>
      </w:pPr>
      <w:r>
        <w:t xml:space="preserve">Consider the following case study centered on potential insurance fraud regarding deafness. This case study was presented in</w:t>
      </w:r>
      <w:r>
        <w:t xml:space="preserve"> </w:t>
      </w:r>
      <w:r>
        <w:t xml:space="preserve">Binder (1992)</w:t>
      </w:r>
      <w:r>
        <w:t xml:space="preserve">,</w:t>
      </w:r>
      <w:r>
        <w:t xml:space="preserve"> </w:t>
      </w:r>
      <w:r>
        <w:t xml:space="preserve">“</w:t>
      </w:r>
      <w:r>
        <w:t xml:space="preserve">A Forced-Choice Technique to Evaluate Deafness in the Hysterical or Malingering Patient.</w:t>
      </w:r>
      <w:r>
        <w:t xml:space="preserve">”</w:t>
      </w:r>
      <w:r>
        <w:t xml:space="preserve"> </w:t>
      </w:r>
      <w:r>
        <w:t xml:space="preserve">The following is an excerpt from the article:</w:t>
      </w:r>
    </w:p>
    <w:p>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weakness, left-sided numbness, intermittent speech difficulty, and memory deficit. There were few consistent or objective findings for these complaints. All of his symptoms disappeared quickly with the exception of the alleged hearing loss.</w:t>
      </w:r>
    </w:p>
    <w:p>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On each trial, a 1,000-Hz tone was randomly paired with the illumination of either the blue or red light bulb, and the subject was instructed to indicate with which light bulb the tone was paired. Because the researchers were implementing a</w:t>
      </w:r>
      <w:r>
        <w:t xml:space="preserve"> </w:t>
      </w:r>
      <w:r>
        <w:t xml:space="preserve">“</w:t>
      </w:r>
      <w:r>
        <w:t xml:space="preserve">forced-choice</w:t>
      </w:r>
      <w:r>
        <w:t xml:space="preserve">”</w:t>
      </w:r>
      <w:r>
        <w:t xml:space="preserve"> </w:t>
      </w:r>
      <w:r>
        <w:t xml:space="preserve">technique, the subject was forced to answer each time with either</w:t>
      </w:r>
      <w:r>
        <w:t xml:space="preserve"> </w:t>
      </w:r>
      <w:r>
        <w:t xml:space="preserve">“</w:t>
      </w:r>
      <w:r>
        <w:t xml:space="preserve">red</w:t>
      </w:r>
      <w:r>
        <w:t xml:space="preserve">”</w:t>
      </w:r>
      <w:r>
        <w:t xml:space="preserve"> </w:t>
      </w:r>
      <w:r>
        <w:t xml:space="preserve">or</w:t>
      </w:r>
      <w:r>
        <w:t xml:space="preserve"> </w:t>
      </w:r>
      <w:r>
        <w:t xml:space="preserve">“</w:t>
      </w:r>
      <w:r>
        <w:t xml:space="preserve">blue.</w:t>
      </w:r>
      <w:r>
        <w:t xml:space="preserve">”</w:t>
      </w:r>
    </w:p>
    <w:p>
      <w:pPr>
        <w:pStyle w:val="BodyText"/>
      </w:pPr>
      <w:r>
        <w:t xml:space="preserve">The subject was correct on 7 out of 20 trials when they were asked to identify whether the tone played with either the red or the blue lightbulb.</w:t>
      </w:r>
    </w:p>
    <w:p>
      <w:pPr>
        <w:numPr>
          <w:ilvl w:val="0"/>
          <w:numId w:val="1005"/>
        </w:numPr>
        <w:pStyle w:val="Compact"/>
      </w:pPr>
      <w:r>
        <w:t xml:space="preserve">Identify the following in the context of this example:</w:t>
      </w:r>
    </w:p>
    <w:p>
      <w:pPr>
        <w:numPr>
          <w:ilvl w:val="0"/>
          <w:numId w:val="1006"/>
        </w:numPr>
        <w:pStyle w:val="Compact"/>
      </w:pPr>
      <w:r>
        <w:t xml:space="preserve">Population of interest:</w:t>
      </w:r>
    </w:p>
    <w:p>
      <w:pPr>
        <w:numPr>
          <w:ilvl w:val="0"/>
          <w:numId w:val="1007"/>
        </w:numPr>
        <w:pStyle w:val="Compact"/>
      </w:pPr>
      <w:r>
        <w:t xml:space="preserve">Sample:</w:t>
      </w:r>
    </w:p>
    <w:p>
      <w:pPr>
        <w:numPr>
          <w:ilvl w:val="0"/>
          <w:numId w:val="1008"/>
        </w:numPr>
        <w:pStyle w:val="Compact"/>
      </w:pPr>
      <w:r>
        <w:t xml:space="preserve">Variable of interest:</w:t>
      </w:r>
    </w:p>
    <w:p>
      <w:pPr>
        <w:numPr>
          <w:ilvl w:val="0"/>
          <w:numId w:val="1009"/>
        </w:numPr>
        <w:pStyle w:val="Compact"/>
      </w:pPr>
      <w:r>
        <w:t xml:space="preserve">Data type:</w:t>
      </w:r>
    </w:p>
    <w:p>
      <w:pPr>
        <w:pStyle w:val="FirstParagraph"/>
      </w:pPr>
      <w:r>
        <w:t xml:space="preserve">Let’s carry out a simulation study to determine whether this patient who was suspected of malingering had obtained too few correct answers. Recall the results of the simulation study indicate what outcomes we expect from a _____________ subject:</w:t>
      </w:r>
    </w:p>
    <w:p>
      <w:pPr>
        <w:pStyle w:val="BodyText"/>
      </w:pPr>
      <w:r>
        <w:t xml:space="preserve">An applet has been constructed so that you can conduct your own repeated trials of this hearing experiment:</w:t>
      </w:r>
      <w:r>
        <w:t xml:space="preserve"> </w:t>
      </w:r>
      <w:hyperlink r:id="rId26">
        <w:r>
          <w:rPr>
            <w:rStyle w:val="Hyperlink"/>
          </w:rPr>
          <w:t xml:space="preserve">http://course1.winona.edu/cmalone/afc_hearing/</w:t>
        </w:r>
      </w:hyperlink>
      <w:r>
        <w:t xml:space="preserve">.</w:t>
      </w:r>
    </w:p>
    <w:p>
      <w:pPr>
        <w:pStyle w:val="BodyText"/>
      </w:pPr>
      <w:r>
        <w:t xml:space="preserve">Recall that the goal is to mimic the outcomes of a deaf person. Therefore, when conducting this experiment, you should mute the speakers on your computer.</w:t>
      </w:r>
    </w:p>
    <w:p>
      <w:r>
        <w:br w:type="page"/>
      </w:r>
    </w:p>
    <w:p>
      <w:pPr>
        <w:numPr>
          <w:ilvl w:val="0"/>
          <w:numId w:val="1010"/>
        </w:numPr>
        <w:pStyle w:val="Compact"/>
      </w:pPr>
      <w:r>
        <w:t xml:space="preserve">Conduct 20 repeated trials of the hearing experiment. Record the number of correct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610486"/>
                  <wp:effectExtent b="0" l="0" r="0" t="0"/>
                  <wp:docPr descr="" title="" id="28" name="Picture"/>
                  <a:graphic>
                    <a:graphicData uri="http://schemas.openxmlformats.org/drawingml/2006/picture">
                      <pic:pic>
                        <pic:nvPicPr>
                          <pic:cNvPr descr="00-images/hearing-loss-trials.png" id="29" name="Picture"/>
                          <pic:cNvPicPr>
                            <a:picLocks noChangeArrowheads="1" noChangeAspect="1"/>
                          </pic:cNvPicPr>
                        </pic:nvPicPr>
                        <pic:blipFill>
                          <a:blip r:embed="rId27"/>
                          <a:stretch>
                            <a:fillRect/>
                          </a:stretch>
                        </pic:blipFill>
                        <pic:spPr bwMode="auto">
                          <a:xfrm>
                            <a:off x="0" y="0"/>
                            <a:ext cx="3733800" cy="4610486"/>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numPr>
          <w:ilvl w:val="0"/>
          <w:numId w:val="1011"/>
        </w:numPr>
        <w:pStyle w:val="Compact"/>
      </w:pPr>
      <w:r>
        <w:t xml:space="preserve">Collect the simulation outcomes from everybody in the class. Place a dot for each outcome on the following number line. Make sure to add labels to the graph</w:t>
      </w:r>
    </w:p>
    <w:p>
      <w:pPr>
        <w:pStyle w:val="FirstParagraph"/>
      </w:pPr>
      <w:r>
        <w:drawing>
          <wp:inline>
            <wp:extent cx="5334000" cy="2705652"/>
            <wp:effectExtent b="0" l="0" r="0" t="0"/>
            <wp:docPr descr="" title="" id="31" name="Picture"/>
            <a:graphic>
              <a:graphicData uri="http://schemas.openxmlformats.org/drawingml/2006/picture">
                <pic:pic>
                  <pic:nvPicPr>
                    <pic:cNvPr descr="01-images/alleged-hearing-dot-plot.png" id="32" name="Picture"/>
                    <pic:cNvPicPr>
                      <a:picLocks noChangeArrowheads="1" noChangeAspect="1"/>
                    </pic:cNvPicPr>
                  </pic:nvPicPr>
                  <pic:blipFill>
                    <a:blip r:embed="rId30"/>
                    <a:stretch>
                      <a:fillRect/>
                    </a:stretch>
                  </pic:blipFill>
                  <pic:spPr bwMode="auto">
                    <a:xfrm>
                      <a:off x="0" y="0"/>
                      <a:ext cx="5334000" cy="2705652"/>
                    </a:xfrm>
                    <a:prstGeom prst="rect">
                      <a:avLst/>
                    </a:prstGeom>
                    <a:noFill/>
                    <a:ln w="9525">
                      <a:noFill/>
                      <a:headEnd/>
                      <a:tailEnd/>
                    </a:ln>
                  </pic:spPr>
                </pic:pic>
              </a:graphicData>
            </a:graphic>
          </wp:inline>
        </w:drawing>
      </w:r>
    </w:p>
    <w:p>
      <w:pPr>
        <w:numPr>
          <w:ilvl w:val="0"/>
          <w:numId w:val="1012"/>
        </w:numPr>
        <w:pStyle w:val="Compact"/>
      </w:pPr>
      <w:r>
        <w:t xml:space="preserve">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pPr>
        <w:numPr>
          <w:ilvl w:val="0"/>
          <w:numId w:val="1013"/>
        </w:numPr>
        <w:pStyle w:val="Compact"/>
      </w:pPr>
      <w:r>
        <w:t xml:space="preserve">In reality, the subject was correct on 36 out of 100 trials when they were asked to identify whether the tone played with either the red or the blue lightbulb. How does this change the process we just conducted above?</w:t>
      </w:r>
    </w:p>
    <w:p>
      <w:r>
        <w:br w:type="page"/>
      </w:r>
    </w:p>
    <w:bookmarkEnd w:id="33"/>
    <w:bookmarkStart w:id="36" w:name="tidy-data"/>
    <w:p>
      <w:pPr>
        <w:pStyle w:val="Heading2"/>
      </w:pPr>
      <w:r>
        <w:t xml:space="preserve">Tidy Data</w:t>
      </w:r>
    </w:p>
    <w:p>
      <w:pPr>
        <w:pStyle w:val="FirstParagraph"/>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Tidy Data</w:t>
            </w:r>
            <w:r>
              <w:t xml:space="preserve"> </w:t>
            </w:r>
            <w:r>
              <w:t xml:space="preserve">is a standard way of mapping the meaning of a data set to its structure. In tidy data,</w:t>
            </w:r>
          </w:p>
          <w:p>
            <w:pPr>
              <w:numPr>
                <w:ilvl w:val="0"/>
                <w:numId w:val="1014"/>
              </w:numPr>
              <w:pStyle w:val="Compact"/>
            </w:pPr>
            <w:r>
              <w:t xml:space="preserve">each</w:t>
            </w:r>
            <w:r>
              <w:t xml:space="preserve"> </w:t>
            </w:r>
            <w:r>
              <w:rPr>
                <w:iCs/>
                <w:i/>
              </w:rPr>
              <w:t xml:space="preserve">variable</w:t>
            </w:r>
            <w:r>
              <w:t xml:space="preserve"> </w:t>
            </w:r>
            <w:r>
              <w:t xml:space="preserve">forms a column</w:t>
            </w:r>
          </w:p>
          <w:p>
            <w:pPr>
              <w:numPr>
                <w:ilvl w:val="0"/>
                <w:numId w:val="1014"/>
              </w:numPr>
              <w:pStyle w:val="Compact"/>
            </w:pPr>
            <w:r>
              <w:t xml:space="preserve">each</w:t>
            </w:r>
            <w:r>
              <w:t xml:space="preserve"> </w:t>
            </w:r>
            <w:r>
              <w:rPr>
                <w:iCs/>
                <w:i/>
              </w:rPr>
              <w:t xml:space="preserve">observation</w:t>
            </w:r>
            <w:r>
              <w:t xml:space="preserve"> </w:t>
            </w:r>
            <w:r>
              <w:t xml:space="preserve">forms a row</w:t>
            </w:r>
          </w:p>
          <w:p>
            <w:pPr>
              <w:numPr>
                <w:ilvl w:val="0"/>
                <w:numId w:val="1014"/>
              </w:numPr>
              <w:pStyle w:val="Compact"/>
            </w:pPr>
            <w:r>
              <w:t xml:space="preserve">each</w:t>
            </w:r>
            <w:r>
              <w:t xml:space="preserve"> </w:t>
            </w:r>
            <w:r>
              <w:rPr>
                <w:iCs/>
                <w:i/>
              </w:rPr>
              <w:t xml:space="preserve">cell</w:t>
            </w:r>
            <w:r>
              <w:t xml:space="preserve"> </w:t>
            </w:r>
            <w:r>
              <w:t xml:space="preserve">is a</w:t>
            </w:r>
            <w:r>
              <w:t xml:space="preserve"> </w:t>
            </w:r>
            <w:r>
              <w:rPr>
                <w:iCs/>
                <w:i/>
              </w:rPr>
              <w:t xml:space="preserve">single measurement</w:t>
            </w:r>
            <w:r>
              <w:t xml:space="preserve">.</w:t>
            </w:r>
          </w:p>
        </w:tc>
      </w:tr>
    </w:tbl>
    <w:p>
      <w:pPr>
        <w:pStyle w:val="FirstParagraph"/>
      </w:pPr>
      <w:r>
        <w:t xml:space="preserve">For the subject’s observed data in Example 1.1, the tidy data set of 20 trials might look like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Trial</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Incorrect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Incorrect</w:t>
            </w:r>
          </w:p>
        </w:tc>
      </w:tr>
      <w:tr>
        <w:tc>
          <w:tcPr/>
          <w:p>
            <w:pPr>
              <w:pStyle w:val="Compact"/>
              <w:jc w:val="right"/>
            </w:pPr>
            <w:r>
              <w:t xml:space="preserve">5</w:t>
            </w:r>
          </w:p>
        </w:tc>
        <w:tc>
          <w:tcPr/>
          <w:p>
            <w:pPr>
              <w:pStyle w:val="Compact"/>
              <w:jc w:val="left"/>
            </w:pPr>
            <w:r>
              <w:t xml:space="preserve">Incorrect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Incorrect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Incorrect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Correct</w:t>
            </w:r>
          </w:p>
        </w:tc>
      </w:tr>
      <w:tr>
        <w:tc>
          <w:tcPr/>
          <w:p>
            <w:pPr>
              <w:pStyle w:val="Compact"/>
              <w:jc w:val="right"/>
            </w:pPr>
            <w:r>
              <w:t xml:space="preserve">13</w:t>
            </w:r>
          </w:p>
        </w:tc>
        <w:tc>
          <w:tcPr/>
          <w:p>
            <w:pPr>
              <w:pStyle w:val="Compact"/>
              <w:jc w:val="left"/>
            </w:pPr>
            <w:r>
              <w:t xml:space="preserve">Incorrect</w:t>
            </w:r>
          </w:p>
        </w:tc>
      </w:tr>
      <w:tr>
        <w:tc>
          <w:tcPr/>
          <w:p>
            <w:pPr>
              <w:pStyle w:val="Compact"/>
              <w:jc w:val="right"/>
            </w:pPr>
            <w:r>
              <w:t xml:space="preserve">14</w:t>
            </w:r>
          </w:p>
        </w:tc>
        <w:tc>
          <w:tcPr/>
          <w:p>
            <w:pPr>
              <w:pStyle w:val="Compact"/>
              <w:jc w:val="left"/>
            </w:pPr>
            <w:r>
              <w:t xml:space="preserve">Incorrect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Incorrect</w:t>
            </w:r>
          </w:p>
        </w:tc>
      </w:tr>
      <w:tr>
        <w:tc>
          <w:tcPr/>
          <w:p>
            <w:pPr>
              <w:pStyle w:val="Compact"/>
              <w:jc w:val="right"/>
            </w:pPr>
            <w:r>
              <w:t xml:space="preserve">19</w:t>
            </w:r>
          </w:p>
        </w:tc>
        <w:tc>
          <w:tcPr/>
          <w:p>
            <w:pPr>
              <w:pStyle w:val="Compact"/>
              <w:jc w:val="left"/>
            </w:pPr>
            <w:r>
              <w:t xml:space="preserve">Correct</w:t>
            </w:r>
          </w:p>
        </w:tc>
      </w:tr>
      <w:tr>
        <w:tc>
          <w:tcPr/>
          <w:p>
            <w:pPr>
              <w:pStyle w:val="Compact"/>
              <w:jc w:val="right"/>
            </w:pPr>
            <w:r>
              <w:t xml:space="preserve">20</w:t>
            </w:r>
          </w:p>
        </w:tc>
        <w:tc>
          <w:tcPr/>
          <w:p>
            <w:pPr>
              <w:pStyle w:val="Compact"/>
              <w:jc w:val="left"/>
            </w:pPr>
            <w:r>
              <w:t xml:space="preserve">Correct</w:t>
            </w:r>
          </w:p>
        </w:tc>
      </w:tr>
    </w:tbl>
    <w:p>
      <w:r>
        <w:br w:type="page"/>
      </w:r>
    </w:p>
    <w:p>
      <w:pPr>
        <w:pStyle w:val="BodyText"/>
      </w:pPr>
      <w:r>
        <w:t xml:space="preserve">There might be extra variables collected on each observation and included in the data set than just our variable of interest. For example, we might have collected the number of seconds it took for the subject to answer.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Trial</w:t>
            </w:r>
          </w:p>
        </w:tc>
        <w:tc>
          <w:tcPr/>
          <w:p>
            <w:pPr>
              <w:pStyle w:val="Compact"/>
              <w:jc w:val="left"/>
            </w:pPr>
            <w:r>
              <w:t xml:space="preserve">Outcome</w:t>
            </w:r>
          </w:p>
        </w:tc>
        <w:tc>
          <w:tcPr/>
          <w:p>
            <w:pPr>
              <w:pStyle w:val="Compact"/>
              <w:jc w:val="right"/>
            </w:pPr>
            <w:r>
              <w:t xml:space="preserve">Time to Response (s)</w:t>
            </w:r>
          </w:p>
        </w:tc>
      </w:tr>
      <w:tr>
        <w:tc>
          <w:tcPr/>
          <w:p>
            <w:pPr>
              <w:pStyle w:val="Compact"/>
              <w:jc w:val="right"/>
            </w:pPr>
            <w:r>
              <w:t xml:space="preserve">1</w:t>
            </w:r>
          </w:p>
        </w:tc>
        <w:tc>
          <w:tcPr/>
          <w:p>
            <w:pPr>
              <w:pStyle w:val="Compact"/>
              <w:jc w:val="left"/>
            </w:pPr>
            <w:r>
              <w:t xml:space="preserve">Incorrect</w:t>
            </w:r>
          </w:p>
        </w:tc>
        <w:tc>
          <w:tcPr/>
          <w:p>
            <w:pPr>
              <w:pStyle w:val="Compact"/>
              <w:jc w:val="right"/>
            </w:pPr>
            <w:r>
              <w:t xml:space="preserve">7.9</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8.7</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4.0</w:t>
            </w:r>
          </w:p>
        </w:tc>
      </w:tr>
      <w:tr>
        <w:tc>
          <w:tcPr/>
          <w:p>
            <w:pPr>
              <w:pStyle w:val="Compact"/>
              <w:jc w:val="right"/>
            </w:pPr>
            <w:r>
              <w:t xml:space="preserve">4</w:t>
            </w:r>
          </w:p>
        </w:tc>
        <w:tc>
          <w:tcPr/>
          <w:p>
            <w:pPr>
              <w:pStyle w:val="Compact"/>
              <w:jc w:val="left"/>
            </w:pPr>
            <w:r>
              <w:t xml:space="preserve">Incorrect</w:t>
            </w:r>
          </w:p>
        </w:tc>
        <w:tc>
          <w:tcPr/>
          <w:p>
            <w:pPr>
              <w:pStyle w:val="Compact"/>
              <w:jc w:val="right"/>
            </w:pPr>
            <w:r>
              <w:t xml:space="preserve">7.1</w:t>
            </w:r>
          </w:p>
        </w:tc>
      </w:tr>
      <w:tr>
        <w:tc>
          <w:tcPr/>
          <w:p>
            <w:pPr>
              <w:pStyle w:val="Compact"/>
              <w:jc w:val="right"/>
            </w:pPr>
            <w:r>
              <w:t xml:space="preserve">5</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6.2</w:t>
            </w:r>
          </w:p>
        </w:tc>
      </w:tr>
      <w:tr>
        <w:tc>
          <w:tcPr/>
          <w:p>
            <w:pPr>
              <w:pStyle w:val="Compact"/>
              <w:jc w:val="right"/>
            </w:pPr>
            <w:r>
              <w:t xml:space="preserve">7</w:t>
            </w:r>
          </w:p>
        </w:tc>
        <w:tc>
          <w:tcPr/>
          <w:p>
            <w:pPr>
              <w:pStyle w:val="Compact"/>
              <w:jc w:val="left"/>
            </w:pPr>
            <w:r>
              <w:t xml:space="preserve">Incorrect</w:t>
            </w:r>
          </w:p>
        </w:tc>
        <w:tc>
          <w:tcPr/>
          <w:p>
            <w:pPr>
              <w:pStyle w:val="Compact"/>
              <w:jc w:val="right"/>
            </w:pPr>
            <w:r>
              <w:t xml:space="preserve">0.9</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5.6</w:t>
            </w:r>
          </w:p>
        </w:tc>
      </w:tr>
      <w:tr>
        <w:tc>
          <w:tcPr/>
          <w:p>
            <w:pPr>
              <w:pStyle w:val="Compact"/>
              <w:jc w:val="right"/>
            </w:pPr>
            <w:r>
              <w:t xml:space="preserve">9</w:t>
            </w:r>
          </w:p>
        </w:tc>
        <w:tc>
          <w:tcPr/>
          <w:p>
            <w:pPr>
              <w:pStyle w:val="Compact"/>
              <w:jc w:val="left"/>
            </w:pPr>
            <w:r>
              <w:t xml:space="preserve">Incorrect</w:t>
            </w:r>
          </w:p>
        </w:tc>
        <w:tc>
          <w:tcPr/>
          <w:p>
            <w:pPr>
              <w:pStyle w:val="Compact"/>
              <w:jc w:val="right"/>
            </w:pPr>
            <w:r>
              <w:t xml:space="preserve">8.2</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5.1</w:t>
            </w:r>
          </w:p>
        </w:tc>
      </w:tr>
      <w:tr>
        <w:tc>
          <w:tcPr/>
          <w:p>
            <w:pPr>
              <w:pStyle w:val="Compact"/>
              <w:jc w:val="right"/>
            </w:pPr>
            <w:r>
              <w:t xml:space="preserve">12</w:t>
            </w:r>
          </w:p>
        </w:tc>
        <w:tc>
          <w:tcPr/>
          <w:p>
            <w:pPr>
              <w:pStyle w:val="Compact"/>
              <w:jc w:val="left"/>
            </w:pPr>
            <w:r>
              <w:t xml:space="preserve">Correct</w:t>
            </w:r>
          </w:p>
        </w:tc>
        <w:tc>
          <w:tcPr/>
          <w:p>
            <w:pPr>
              <w:pStyle w:val="Compact"/>
              <w:jc w:val="right"/>
            </w:pPr>
            <w:r>
              <w:t xml:space="preserve">5.1</w:t>
            </w:r>
          </w:p>
        </w:tc>
      </w:tr>
      <w:tr>
        <w:tc>
          <w:tcPr/>
          <w:p>
            <w:pPr>
              <w:pStyle w:val="Compact"/>
              <w:jc w:val="right"/>
            </w:pPr>
            <w:r>
              <w:t xml:space="preserve">13</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14</w:t>
            </w:r>
          </w:p>
        </w:tc>
        <w:tc>
          <w:tcPr/>
          <w:p>
            <w:pPr>
              <w:pStyle w:val="Compact"/>
              <w:jc w:val="left"/>
            </w:pPr>
            <w:r>
              <w:t xml:space="preserve">Incorrect</w:t>
            </w:r>
          </w:p>
        </w:tc>
        <w:tc>
          <w:tcPr/>
          <w:p>
            <w:pPr>
              <w:pStyle w:val="Compact"/>
              <w:jc w:val="right"/>
            </w:pPr>
            <w:r>
              <w:t xml:space="preserve">0.3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2.6</w:t>
            </w:r>
          </w:p>
        </w:tc>
      </w:tr>
      <w:tr>
        <w:tc>
          <w:tcPr/>
          <w:p>
            <w:pPr>
              <w:pStyle w:val="Compact"/>
              <w:jc w:val="right"/>
            </w:pPr>
            <w:r>
              <w:t xml:space="preserve">16</w:t>
            </w:r>
          </w:p>
        </w:tc>
        <w:tc>
          <w:tcPr/>
          <w:p>
            <w:pPr>
              <w:pStyle w:val="Compact"/>
              <w:jc w:val="left"/>
            </w:pPr>
            <w:r>
              <w:t xml:space="preserve">Correct</w:t>
            </w:r>
          </w:p>
        </w:tc>
        <w:tc>
          <w:tcPr/>
          <w:p>
            <w:pPr>
              <w:pStyle w:val="Compact"/>
              <w:jc w:val="right"/>
            </w:pPr>
            <w:r>
              <w:t xml:space="preserve">0.1</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0.6</w:t>
            </w:r>
          </w:p>
        </w:tc>
      </w:tr>
      <w:tr>
        <w:tc>
          <w:tcPr/>
          <w:p>
            <w:pPr>
              <w:pStyle w:val="Compact"/>
              <w:jc w:val="right"/>
            </w:pPr>
            <w:r>
              <w:t xml:space="preserve">18</w:t>
            </w:r>
          </w:p>
        </w:tc>
        <w:tc>
          <w:tcPr/>
          <w:p>
            <w:pPr>
              <w:pStyle w:val="Compact"/>
              <w:jc w:val="left"/>
            </w:pPr>
            <w:r>
              <w:t xml:space="preserve">Incorrect</w:t>
            </w:r>
          </w:p>
        </w:tc>
        <w:tc>
          <w:tcPr/>
          <w:p>
            <w:pPr>
              <w:pStyle w:val="Compact"/>
              <w:jc w:val="right"/>
            </w:pPr>
            <w:r>
              <w:t xml:space="preserve">2.5</w:t>
            </w:r>
          </w:p>
        </w:tc>
      </w:tr>
      <w:tr>
        <w:tc>
          <w:tcPr/>
          <w:p>
            <w:pPr>
              <w:pStyle w:val="Compact"/>
              <w:jc w:val="right"/>
            </w:pPr>
            <w:r>
              <w:t xml:space="preserve">19</w:t>
            </w:r>
          </w:p>
        </w:tc>
        <w:tc>
          <w:tcPr/>
          <w:p>
            <w:pPr>
              <w:pStyle w:val="Compact"/>
              <w:jc w:val="left"/>
            </w:pPr>
            <w:r>
              <w:t xml:space="preserve">Correct</w:t>
            </w:r>
          </w:p>
        </w:tc>
        <w:tc>
          <w:tcPr/>
          <w:p>
            <w:pPr>
              <w:pStyle w:val="Compact"/>
              <w:jc w:val="right"/>
            </w:pPr>
            <w:r>
              <w:t xml:space="preserve">1.5</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9.0</w:t>
            </w:r>
          </w:p>
        </w:tc>
      </w:tr>
    </w:tbl>
    <w:bookmarkEnd w:id="36"/>
    <w:bookmarkStart w:id="46" w:name="example-1.2-helper-vs.-hinderer"/>
    <w:p>
      <w:pPr>
        <w:pStyle w:val="Heading2"/>
      </w:pPr>
      <w:r>
        <w:t xml:space="preserve">Example 1.2: Helper vs. Hinderer?</w:t>
      </w:r>
    </w:p>
    <w:p>
      <w:pPr>
        <w:numPr>
          <w:ilvl w:val="0"/>
          <w:numId w:val="1015"/>
        </w:numPr>
        <w:pStyle w:val="Compact"/>
      </w:pPr>
      <w:r>
        <w:t xml:space="preserve">Helper Triangle:</w:t>
      </w:r>
      <w:r>
        <w:t xml:space="preserve"> </w:t>
      </w:r>
      <w:hyperlink r:id="rId37">
        <w:r>
          <w:rPr>
            <w:rStyle w:val="Hyperlink"/>
          </w:rPr>
          <w:t xml:space="preserve">https://www.youtube.com/watch?v=j4n_Qh4Gg9Q</w:t>
        </w:r>
      </w:hyperlink>
    </w:p>
    <w:p>
      <w:pPr>
        <w:numPr>
          <w:ilvl w:val="0"/>
          <w:numId w:val="1015"/>
        </w:numPr>
        <w:pStyle w:val="Compact"/>
      </w:pPr>
      <w:r>
        <w:t xml:space="preserve">Hinderer Square:</w:t>
      </w:r>
      <w:r>
        <w:t xml:space="preserve"> </w:t>
      </w:r>
      <w:hyperlink r:id="rId38">
        <w:r>
          <w:rPr>
            <w:rStyle w:val="Hyperlink"/>
          </w:rPr>
          <w:t xml:space="preserve">https://www.youtube.com/watch?v=ExcxDMEHlHY</w:t>
        </w:r>
      </w:hyperlink>
    </w:p>
    <w:p>
      <w:pPr>
        <w:numPr>
          <w:ilvl w:val="0"/>
          <w:numId w:val="1015"/>
        </w:numPr>
        <w:pStyle w:val="Compact"/>
      </w:pPr>
      <w:r>
        <w:t xml:space="preserve">10-month old choice:</w:t>
      </w:r>
      <w:r>
        <w:t xml:space="preserve"> </w:t>
      </w:r>
      <w:hyperlink r:id="rId39">
        <w:r>
          <w:rPr>
            <w:rStyle w:val="Hyperlink"/>
          </w:rPr>
          <w:t xml:space="preserve">https://www.youtube.com/watch?v=NsWICFLt_-g</w:t>
        </w:r>
      </w:hyperlink>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w:t>
      </w:r>
      <w:r>
        <w:t xml:space="preserve">climber</w:t>
      </w:r>
      <w:r>
        <w:t xml:space="preserve">”</w:t>
      </w:r>
      <w:r>
        <w:t xml:space="preserve"> </w:t>
      </w:r>
      <w:r>
        <w:t xml:space="preserve">character (a piece of wood with</w:t>
      </w:r>
      <w:r>
        <w:t xml:space="preserve"> </w:t>
      </w:r>
      <w:r>
        <w:t xml:space="preserve">“</w:t>
      </w:r>
      <w:r>
        <w:t xml:space="preserve">google</w:t>
      </w:r>
      <w:r>
        <w:t xml:space="preserv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w:t>
      </w:r>
      <w:r>
        <w:t xml:space="preserve">helper</w:t>
      </w:r>
      <w:r>
        <w:t xml:space="preserve">”</w:t>
      </w:r>
      <w:r>
        <w:t xml:space="preserve">) and one where the climber was pushed back down the hill by another character (</w:t>
      </w:r>
      <w:r>
        <w:t xml:space="preserve">“</w:t>
      </w:r>
      <w:r>
        <w:t xml:space="preserve">hinderer</w:t>
      </w:r>
      <w:r>
        <w:t xml:space="preserve">”</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41" name="Picture"/>
            <a:graphic>
              <a:graphicData uri="http://schemas.openxmlformats.org/drawingml/2006/picture">
                <pic:pic>
                  <pic:nvPicPr>
                    <pic:cNvPr descr="01-introduction-to-statistical-thinking_files/figure-docx/fa-icon-37ad7c564657af6a696c5f96e99a441a.png" id="42"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10-month-old infants tend to prefer the helper toy over the hinderer toy?</w:t>
      </w:r>
    </w:p>
    <w:p>
      <w:pPr>
        <w:numPr>
          <w:ilvl w:val="0"/>
          <w:numId w:val="1016"/>
        </w:numPr>
        <w:pStyle w:val="Compact"/>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p>
      <w:pPr>
        <w:numPr>
          <w:ilvl w:val="0"/>
          <w:numId w:val="1017"/>
        </w:numPr>
        <w:pStyle w:val="Compact"/>
      </w:pPr>
      <w:r>
        <w:t xml:space="preserve">Identify the following in the context of this example:</w:t>
      </w:r>
    </w:p>
    <w:p>
      <w:pPr>
        <w:numPr>
          <w:ilvl w:val="0"/>
          <w:numId w:val="1018"/>
        </w:numPr>
        <w:pStyle w:val="Compact"/>
      </w:pPr>
      <w:r>
        <w:t xml:space="preserve">Population of interest:</w:t>
      </w:r>
    </w:p>
    <w:p>
      <w:pPr>
        <w:numPr>
          <w:ilvl w:val="0"/>
          <w:numId w:val="1019"/>
        </w:numPr>
        <w:pStyle w:val="Compact"/>
      </w:pPr>
      <w:r>
        <w:t xml:space="preserve">Sample:</w:t>
      </w:r>
    </w:p>
    <w:p>
      <w:pPr>
        <w:numPr>
          <w:ilvl w:val="0"/>
          <w:numId w:val="1020"/>
        </w:numPr>
        <w:pStyle w:val="Compact"/>
      </w:pPr>
      <w:r>
        <w:t xml:space="preserve">Variable of interest:</w:t>
      </w:r>
    </w:p>
    <w:p>
      <w:pPr>
        <w:numPr>
          <w:ilvl w:val="0"/>
          <w:numId w:val="1021"/>
        </w:numPr>
        <w:pStyle w:val="Compact"/>
      </w:pPr>
      <w:r>
        <w:t xml:space="preserve">Data type:</w:t>
      </w:r>
    </w:p>
    <w:p>
      <w:r>
        <w:br w:type="page"/>
      </w:r>
    </w:p>
    <w:p>
      <w:pPr>
        <w:numPr>
          <w:ilvl w:val="0"/>
          <w:numId w:val="1022"/>
        </w:numPr>
        <w:pStyle w:val="Compact"/>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numPr>
          <w:ilvl w:val="0"/>
          <w:numId w:val="1023"/>
        </w:numPr>
        <w:pStyle w:val="Compact"/>
      </w:pPr>
      <w:r>
        <w:t xml:space="preserve">Recall that this study involves 16 infants. If the population of all 10-month-old infants has no real preference for one toy over the other, how many infants do you expect to choose the helper toy? Explain.</w:t>
      </w:r>
    </w:p>
    <w:p>
      <w:pPr>
        <w:numPr>
          <w:ilvl w:val="0"/>
          <w:numId w:val="1024"/>
        </w:numPr>
        <w:pStyle w:val="Compact"/>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numPr>
          <w:ilvl w:val="0"/>
          <w:numId w:val="1025"/>
        </w:numPr>
        <w:pStyle w:val="Compact"/>
      </w:pPr>
      <w:r>
        <w:t xml:space="preserve">What are the two possible outcomes on each of the trials?</w:t>
      </w:r>
    </w:p>
    <w:p>
      <w:pPr>
        <w:numPr>
          <w:ilvl w:val="0"/>
          <w:numId w:val="1025"/>
        </w:numPr>
        <w:pStyle w:val="Compact"/>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numPr>
          <w:ilvl w:val="0"/>
          <w:numId w:val="1025"/>
        </w:numPr>
        <w:pStyle w:val="Compact"/>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66863"/>
                  <wp:effectExtent b="0" l="0" r="0" t="0"/>
                  <wp:docPr descr="" title="" id="44" name="Picture"/>
                  <a:graphic>
                    <a:graphicData uri="http://schemas.openxmlformats.org/drawingml/2006/picture">
                      <pic:pic>
                        <pic:nvPicPr>
                          <pic:cNvPr descr="01-images/helper-hinderer-applet-graph.png" id="45" name="Picture"/>
                          <pic:cNvPicPr>
                            <a:picLocks noChangeArrowheads="1" noChangeAspect="1"/>
                          </pic:cNvPicPr>
                        </pic:nvPicPr>
                        <pic:blipFill>
                          <a:blip r:embed="rId43"/>
                          <a:stretch>
                            <a:fillRect/>
                          </a:stretch>
                        </pic:blipFill>
                        <pic:spPr bwMode="auto">
                          <a:xfrm>
                            <a:off x="0" y="0"/>
                            <a:ext cx="3200400" cy="216686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6"/>
        </w:numPr>
        <w:pStyle w:val="Compact"/>
      </w:pPr>
      <w:r>
        <w:t xml:space="preserve">What does each dot on this plot represent?</w:t>
      </w:r>
    </w:p>
    <w:p>
      <w:pPr>
        <w:numPr>
          <w:ilvl w:val="0"/>
          <w:numId w:val="1027"/>
        </w:numPr>
        <w:pStyle w:val="Compact"/>
      </w:pPr>
      <w:r>
        <w:t xml:space="preserve">Suppose that in the actual study 10 out of 16 infants chose the helper toy. Would this convince you that the majority of the population of all 10-month-old infants had a preference for the helper toy? Why or why not?</w:t>
      </w:r>
    </w:p>
    <w:p>
      <w:pPr>
        <w:numPr>
          <w:ilvl w:val="0"/>
          <w:numId w:val="1028"/>
        </w:numPr>
        <w:pStyle w:val="Compact"/>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Cs/>
          <w:i/>
        </w:rPr>
        <w:t xml:space="preserve">prefer</w:t>
      </w:r>
      <w:r>
        <w:t xml:space="preserve"> </w:t>
      </w:r>
      <w:r>
        <w:t xml:space="preserve">the helper toy over the hinderer toy?</w:t>
      </w:r>
    </w:p>
    <w:bookmarkEnd w:id="46"/>
    <w:bookmarkStart w:id="55" w:name="Xea7cb0691c033c68a9ffda706cbc4d5c6c80a1c"/>
    <w:p>
      <w:pPr>
        <w:pStyle w:val="Heading2"/>
      </w:pPr>
      <w:r>
        <w:t xml:space="preserve">Example 1.3: Are Women Passed Over for Managerial Training?</w:t>
      </w:r>
    </w:p>
    <w:p>
      <w:pPr>
        <w:pStyle w:val="FirstParagraph"/>
      </w:pPr>
      <w:r>
        <w:t xml:space="preserve">This example involves possible discrimination against women employees. Suppose a large supermarket chain occasionally selects employees to receive management training. A group of women employees has claimed that they are less likely than male employees of similar qualifications to be chosen for this training.</w:t>
      </w:r>
    </w:p>
    <w:p>
      <w:pPr>
        <w:pStyle w:val="BodyText"/>
      </w:pPr>
      <w:r>
        <w:t xml:space="preserve">The large employee pool that can be tapped for management training is 60% women and 40% male; however, since the management program began, 9 of the 20 employees chosen for management training were women (only 45%). Do the women employees have a valid statistical argument that they are being discriminated against?</w:t>
      </w:r>
    </w:p>
    <w:p>
      <w:pPr>
        <w:pStyle w:val="BodyText"/>
      </w:pPr>
      <w:r>
        <w:rPr>
          <w:iCs/>
          <w:i/>
        </w:rPr>
        <w:t xml:space="preserve">It is important to acknowledge that the data collected in this study inherently assumes all employees identify as either female or male. However, we recognize that this depiction does not mirror the diverse realities of all individuals.</w:t>
      </w:r>
    </w:p>
    <w:p>
      <w:pPr>
        <w:pStyle w:val="BodyText"/>
      </w:pPr>
      <w:r>
        <w:drawing>
          <wp:inline>
            <wp:extent cx="97440" cy="157162"/>
            <wp:effectExtent b="0" l="0" r="0" t="0"/>
            <wp:docPr descr="" title="" id="47" name="Picture"/>
            <a:graphic>
              <a:graphicData uri="http://schemas.openxmlformats.org/drawingml/2006/picture">
                <pic:pic>
                  <pic:nvPicPr>
                    <pic:cNvPr descr="01-introduction-to-statistical-thinking_files/figure-docx/fa-icon-37ad7c564657af6a696c5f96e99a441a.png" id="48"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rPr>
          <w:iCs/>
          <w:i/>
        </w:rPr>
        <w:t xml:space="preserve">Is there statistical evidence for sex discrimination against women?</w:t>
      </w:r>
    </w:p>
    <w:p>
      <w:pPr>
        <w:numPr>
          <w:ilvl w:val="0"/>
          <w:numId w:val="1029"/>
        </w:numPr>
        <w:pStyle w:val="Compact"/>
      </w:pPr>
      <w:r>
        <w:t xml:space="preserve">Identify the following in the context of this example:</w:t>
      </w:r>
    </w:p>
    <w:p>
      <w:pPr>
        <w:numPr>
          <w:ilvl w:val="0"/>
          <w:numId w:val="1030"/>
        </w:numPr>
        <w:pStyle w:val="Compact"/>
      </w:pPr>
      <w:r>
        <w:t xml:space="preserve">Population of interest:</w:t>
      </w:r>
    </w:p>
    <w:p>
      <w:pPr>
        <w:numPr>
          <w:ilvl w:val="0"/>
          <w:numId w:val="1031"/>
        </w:numPr>
        <w:pStyle w:val="Compact"/>
      </w:pPr>
      <w:r>
        <w:t xml:space="preserve">Sample:</w:t>
      </w:r>
    </w:p>
    <w:p>
      <w:pPr>
        <w:numPr>
          <w:ilvl w:val="0"/>
          <w:numId w:val="1032"/>
        </w:numPr>
        <w:pStyle w:val="Compact"/>
      </w:pPr>
      <w:r>
        <w:t xml:space="preserve">Variable of interest:</w:t>
      </w:r>
    </w:p>
    <w:p>
      <w:pPr>
        <w:numPr>
          <w:ilvl w:val="0"/>
          <w:numId w:val="1033"/>
        </w:numPr>
        <w:pStyle w:val="Compact"/>
      </w:pPr>
      <w:r>
        <w:t xml:space="preserve">Data type:</w:t>
      </w:r>
    </w:p>
    <w:p>
      <w:pPr>
        <w:numPr>
          <w:ilvl w:val="0"/>
          <w:numId w:val="1034"/>
        </w:numPr>
        <w:pStyle w:val="Compact"/>
      </w:pPr>
      <w:r>
        <w:t xml:space="preserve">Sketch out</w:t>
      </w:r>
      <w:r>
        <w:t xml:space="preserve"> </w:t>
      </w:r>
      <w:r>
        <w:rPr>
          <w:bCs/>
          <w:b/>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2625328"/>
                  <wp:effectExtent b="0" l="0" r="0" t="0"/>
                  <wp:docPr descr="" title="" id="50" name="Picture"/>
                  <a:graphic>
                    <a:graphicData uri="http://schemas.openxmlformats.org/drawingml/2006/picture">
                      <pic:pic>
                        <pic:nvPicPr>
                          <pic:cNvPr descr="01-images/women-managerial-training-sketc.png" id="51" name="Picture"/>
                          <pic:cNvPicPr>
                            <a:picLocks noChangeArrowheads="1" noChangeAspect="1"/>
                          </pic:cNvPicPr>
                        </pic:nvPicPr>
                        <pic:blipFill>
                          <a:blip r:embed="rId49"/>
                          <a:stretch>
                            <a:fillRect/>
                          </a:stretch>
                        </pic:blipFill>
                        <pic:spPr bwMode="auto">
                          <a:xfrm>
                            <a:off x="0" y="0"/>
                            <a:ext cx="4000500" cy="26253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5"/>
        </w:numPr>
        <w:pStyle w:val="Compact"/>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female.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numPr>
          <w:ilvl w:val="0"/>
          <w:numId w:val="1036"/>
        </w:numPr>
        <w:pStyle w:val="Compact"/>
      </w:pPr>
      <w:r>
        <w:t xml:space="preserve">What are the two possible outcomes on each of the trials?</w:t>
      </w:r>
    </w:p>
    <w:p>
      <w:pPr>
        <w:numPr>
          <w:ilvl w:val="0"/>
          <w:numId w:val="1036"/>
        </w:numPr>
        <w:pStyle w:val="Compact"/>
      </w:pPr>
      <w:r>
        <w:t xml:space="preserve">What is the probability that a female is selected for a managerial position under the assumption that there is no sex discrimination in the selection process? Change your</w:t>
      </w:r>
      <w:r>
        <w:t xml:space="preserve"> </w:t>
      </w:r>
      <w:r>
        <w:rPr>
          <w:rStyle w:val="VerbatimChar"/>
        </w:rPr>
        <w:t xml:space="preserve">Probability of heads</w:t>
      </w:r>
      <w:r>
        <w:t xml:space="preserve"> </w:t>
      </w:r>
      <w:r>
        <w:t xml:space="preserve">accordingly.</w:t>
      </w:r>
    </w:p>
    <w:p>
      <w:pPr>
        <w:numPr>
          <w:ilvl w:val="0"/>
          <w:numId w:val="1036"/>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female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63844"/>
                  <wp:effectExtent b="0" l="0" r="0" t="0"/>
                  <wp:docPr descr="" title="" id="53" name="Picture"/>
                  <a:graphic>
                    <a:graphicData uri="http://schemas.openxmlformats.org/drawingml/2006/picture">
                      <pic:pic>
                        <pic:nvPicPr>
                          <pic:cNvPr descr="01-images/women-managerial-training-applet.png" id="54" name="Picture"/>
                          <pic:cNvPicPr>
                            <a:picLocks noChangeArrowheads="1" noChangeAspect="1"/>
                          </pic:cNvPicPr>
                        </pic:nvPicPr>
                        <pic:blipFill>
                          <a:blip r:embed="rId52"/>
                          <a:stretch>
                            <a:fillRect/>
                          </a:stretch>
                        </pic:blipFill>
                        <pic:spPr bwMode="auto">
                          <a:xfrm>
                            <a:off x="0" y="0"/>
                            <a:ext cx="3200400" cy="236384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7"/>
        </w:numPr>
        <w:pStyle w:val="Compact"/>
      </w:pPr>
      <w:r>
        <w:t xml:space="preserve">What does each dot on this plot represent?</w:t>
      </w:r>
    </w:p>
    <w:p>
      <w:pPr>
        <w:numPr>
          <w:ilvl w:val="0"/>
          <w:numId w:val="1038"/>
        </w:numPr>
        <w:pStyle w:val="Compact"/>
      </w:pPr>
      <w:r>
        <w:t xml:space="preserve">Recall that since the management program began, only 9 of the 20 employees (45%) chosen for management training were female. Does this outcome convince you that the selection process is biased against women? Why or why not?</w:t>
      </w:r>
    </w:p>
    <w:bookmarkEnd w:id="55"/>
    <w:bookmarkStart w:id="64" w:name="example-1.4-font-preferences"/>
    <w:p>
      <w:pPr>
        <w:pStyle w:val="Heading2"/>
      </w:pPr>
      <w:r>
        <w:t xml:space="preserve">Example 1.4: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Cs/>
          <w:i/>
        </w:rPr>
        <w:t xml:space="preserve">“</w:t>
      </w:r>
      <w:r>
        <w:rPr>
          <w:iCs/>
          <w:i/>
        </w:rPr>
        <w:t xml:space="preserve">Indulgence</w:t>
      </w:r>
      <w:r>
        <w:rPr>
          <w:iCs/>
          <w:i/>
        </w:rPr>
        <w:t xml:space="preserv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762061"/>
                  <wp:effectExtent b="0" l="0" r="0" t="0"/>
                  <wp:docPr descr="" title="" id="57" name="Picture"/>
                  <a:graphic>
                    <a:graphicData uri="http://schemas.openxmlformats.org/drawingml/2006/picture">
                      <pic:pic>
                        <pic:nvPicPr>
                          <pic:cNvPr descr="01-images/font-style-image.png" id="58" name="Picture"/>
                          <pic:cNvPicPr>
                            <a:picLocks noChangeArrowheads="1" noChangeAspect="1"/>
                          </pic:cNvPicPr>
                        </pic:nvPicPr>
                        <pic:blipFill>
                          <a:blip r:embed="rId56"/>
                          <a:stretch>
                            <a:fillRect/>
                          </a:stretch>
                        </pic:blipFill>
                        <pic:spPr bwMode="auto">
                          <a:xfrm>
                            <a:off x="0" y="0"/>
                            <a:ext cx="3200400" cy="276206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59" name="Picture"/>
            <a:graphic>
              <a:graphicData uri="http://schemas.openxmlformats.org/drawingml/2006/picture">
                <pic:pic>
                  <pic:nvPicPr>
                    <pic:cNvPr descr="01-introduction-to-statistical-thinking_files/figure-docx/fa-icon-37ad7c564657af6a696c5f96e99a441a.png" id="60"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the majority of consumers have a preference for one font over the other?</w:t>
      </w:r>
    </w:p>
    <w:p>
      <w:pPr>
        <w:numPr>
          <w:ilvl w:val="0"/>
          <w:numId w:val="1039"/>
        </w:numPr>
        <w:pStyle w:val="Compact"/>
      </w:pPr>
      <w:r>
        <w:t xml:space="preserve">Identify the following in the context of this example:</w:t>
      </w:r>
    </w:p>
    <w:p>
      <w:pPr>
        <w:numPr>
          <w:ilvl w:val="0"/>
          <w:numId w:val="1040"/>
        </w:numPr>
        <w:pStyle w:val="Compact"/>
      </w:pPr>
      <w:r>
        <w:t xml:space="preserve">Population of interest:</w:t>
      </w:r>
    </w:p>
    <w:p>
      <w:pPr>
        <w:numPr>
          <w:ilvl w:val="0"/>
          <w:numId w:val="1041"/>
        </w:numPr>
        <w:pStyle w:val="Compact"/>
      </w:pPr>
      <w:r>
        <w:t xml:space="preserve">Sample:</w:t>
      </w:r>
    </w:p>
    <w:p>
      <w:pPr>
        <w:numPr>
          <w:ilvl w:val="0"/>
          <w:numId w:val="1042"/>
        </w:numPr>
        <w:pStyle w:val="Compact"/>
      </w:pPr>
      <w:r>
        <w:t xml:space="preserve">Variable of interest:</w:t>
      </w:r>
    </w:p>
    <w:p>
      <w:pPr>
        <w:numPr>
          <w:ilvl w:val="0"/>
          <w:numId w:val="1043"/>
        </w:numPr>
        <w:pStyle w:val="Compact"/>
      </w:pPr>
      <w:r>
        <w:t xml:space="preserve">Data type:</w:t>
      </w:r>
    </w:p>
    <w:p>
      <w:pPr>
        <w:numPr>
          <w:ilvl w:val="0"/>
          <w:numId w:val="1044"/>
        </w:numPr>
        <w:pStyle w:val="Compact"/>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numPr>
          <w:ilvl w:val="0"/>
          <w:numId w:val="1045"/>
        </w:numPr>
        <w:pStyle w:val="Compact"/>
      </w:pPr>
      <w:r>
        <w:t xml:space="preserve">What are the two possible outcomes on each of the trials?</w:t>
      </w:r>
    </w:p>
    <w:p>
      <w:pPr>
        <w:numPr>
          <w:ilvl w:val="0"/>
          <w:numId w:val="1045"/>
        </w:numPr>
        <w:pStyle w:val="Compact"/>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numPr>
          <w:ilvl w:val="0"/>
          <w:numId w:val="1045"/>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404128"/>
                  <wp:effectExtent b="0" l="0" r="0" t="0"/>
                  <wp:docPr descr="" title="" id="62" name="Picture"/>
                  <a:graphic>
                    <a:graphicData uri="http://schemas.openxmlformats.org/drawingml/2006/picture">
                      <pic:pic>
                        <pic:nvPicPr>
                          <pic:cNvPr descr="01-images/font-applet.png" id="63" name="Picture"/>
                          <pic:cNvPicPr>
                            <a:picLocks noChangeArrowheads="1" noChangeAspect="1"/>
                          </pic:cNvPicPr>
                        </pic:nvPicPr>
                        <pic:blipFill>
                          <a:blip r:embed="rId61"/>
                          <a:stretch>
                            <a:fillRect/>
                          </a:stretch>
                        </pic:blipFill>
                        <pic:spPr bwMode="auto">
                          <a:xfrm>
                            <a:off x="0" y="0"/>
                            <a:ext cx="3200400" cy="24041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6"/>
        </w:numPr>
        <w:pStyle w:val="Compact"/>
      </w:pPr>
      <w:r>
        <w:t xml:space="preserve">What does each dot on this plot represent?</w:t>
      </w:r>
    </w:p>
    <w:p>
      <w:pPr>
        <w:numPr>
          <w:ilvl w:val="0"/>
          <w:numId w:val="1047"/>
        </w:numPr>
        <w:pStyle w:val="Compact"/>
      </w:pPr>
      <w:r>
        <w:t xml:space="preserve">In the actual study, 30 of the 40 selected the Signet font. Does this outcome convince you that there is a preference for one font over the other? Why or why not?</w:t>
      </w:r>
    </w:p>
    <w:bookmarkEnd w:id="64"/>
    <w:bookmarkStart w:id="71" w:name="references"/>
    <w:p>
      <w:pPr>
        <w:pStyle w:val="Heading2"/>
      </w:pPr>
      <w:r>
        <w:t xml:space="preserve">References</w:t>
      </w:r>
    </w:p>
    <w:bookmarkStart w:id="70" w:name="refs"/>
    <w:bookmarkStart w:id="66" w:name="ref-binder1992"/>
    <w:p>
      <w:pPr>
        <w:pStyle w:val="Bibliography"/>
      </w:pPr>
      <w:r>
        <w:t xml:space="preserve">Binder, L. 1992.</w:t>
      </w:r>
      <w:r>
        <w:t xml:space="preserve"> </w:t>
      </w:r>
      <w:r>
        <w:t xml:space="preserve">“Malingering Detected by Forced Choice Testing of Memory and Tactile Sensation: A Case Report.”</w:t>
      </w:r>
      <w:r>
        <w:t xml:space="preserve"> </w:t>
      </w:r>
      <w:r>
        <w:rPr>
          <w:iCs/>
          <w:i/>
        </w:rPr>
        <w:t xml:space="preserve">Archives of Clinical Neuropsychology</w:t>
      </w:r>
      <w:r>
        <w:t xml:space="preserve"> </w:t>
      </w:r>
      <w:r>
        <w:t xml:space="preserve">7 (2): 155–63.</w:t>
      </w:r>
      <w:r>
        <w:t xml:space="preserve"> </w:t>
      </w:r>
      <w:hyperlink r:id="rId65">
        <w:r>
          <w:rPr>
            <w:rStyle w:val="Hyperlink"/>
          </w:rPr>
          <w:t xml:space="preserve">https://doi.org/10.1016/0887-6177(92)90009-c</w:t>
        </w:r>
      </w:hyperlink>
      <w:r>
        <w:t xml:space="preserve">.</w:t>
      </w:r>
    </w:p>
    <w:bookmarkEnd w:id="66"/>
    <w:bookmarkStart w:id="68" w:name="ref-hamlin2007"/>
    <w:p>
      <w:pPr>
        <w:pStyle w:val="Bibliography"/>
      </w:pPr>
      <w:r>
        <w:t xml:space="preserve">Hamlin, J. Kiley, Karen Wynn, and Paul Bloom. 2007.</w:t>
      </w:r>
      <w:r>
        <w:t xml:space="preserve"> </w:t>
      </w:r>
      <w:r>
        <w:t xml:space="preserve">“Social Evaluation by Preverbal Infants.”</w:t>
      </w:r>
      <w:r>
        <w:t xml:space="preserve"> </w:t>
      </w:r>
      <w:r>
        <w:rPr>
          <w:iCs/>
          <w:i/>
        </w:rPr>
        <w:t xml:space="preserve">Nature</w:t>
      </w:r>
      <w:r>
        <w:t xml:space="preserve"> </w:t>
      </w:r>
      <w:r>
        <w:t xml:space="preserve">450 (7169): 557–59.</w:t>
      </w:r>
      <w:r>
        <w:t xml:space="preserve"> </w:t>
      </w:r>
      <w:hyperlink r:id="rId67">
        <w:r>
          <w:rPr>
            <w:rStyle w:val="Hyperlink"/>
          </w:rPr>
          <w:t xml:space="preserve">https://doi.org/10.1038/nature06288</w:t>
        </w:r>
      </w:hyperlink>
      <w:r>
        <w:t xml:space="preserve">.</w:t>
      </w:r>
    </w:p>
    <w:bookmarkEnd w:id="68"/>
    <w:bookmarkStart w:id="69"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Cs/>
          <w:i/>
        </w:rPr>
        <w:t xml:space="preserve">Data and Context in Statistics Education: Towards an Evidence-Based Society (ICOTS8), Voorburg, The Netherlands</w:t>
      </w:r>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 w:numId="1020">
    <w:abstractNumId w:val="991"/>
  </w:num>
  <w:num w:numId="1021">
    <w:abstractNumId w:val="991"/>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hyperlink" Id="rId26" Target="http://course1.winona.edu/cmalone/afc_hearing/" TargetMode="External" /><Relationship Type="http://schemas.openxmlformats.org/officeDocument/2006/relationships/hyperlink" Id="rId65" Target="https://doi.org/10.1016/0887-6177(92)90009-c" TargetMode="External" /><Relationship Type="http://schemas.openxmlformats.org/officeDocument/2006/relationships/hyperlink" Id="rId67" Target="https://doi.org/10.1038/nature06288"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_rels/footnotes.xml.rels><?xml version="1.0" encoding="UTF-8"?><Relationships xmlns="http://schemas.openxmlformats.org/package/2006/relationships"><Relationship Type="http://schemas.openxmlformats.org/officeDocument/2006/relationships/hyperlink" Id="rId26" Target="http://course1.winona.edu/cmalone/afc_hearing/" TargetMode="External" /><Relationship Type="http://schemas.openxmlformats.org/officeDocument/2006/relationships/hyperlink" Id="rId65" Target="https://doi.org/10.1016/0887-6177(92)90009-c" TargetMode="External" /><Relationship Type="http://schemas.openxmlformats.org/officeDocument/2006/relationships/hyperlink" Id="rId67" Target="https://doi.org/10.1038/nature06288"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2024-09-23T18:34:06Z</dcterms:created>
  <dcterms:modified xsi:type="dcterms:W3CDTF">2024-09-23T18:34:06Z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