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6.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5.1: Reducing Variability with Blocking</w:t>
      </w:r>
    </w:p>
    <w:p>
      <w:pPr>
        <w:pStyle w:val="Subtitle"/>
      </w:pPr>
      <w:r>
        <w:t xml:space="preserve">Advertising Strategies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RStudio.app/Contents/Resources/app/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Submit via Gradescope, don’t forget to assign pages to the questions in the outline!</w:t>
            </w:r>
          </w:p>
          <w:p/>
        </w:tc>
      </w:tr>
    </w:tbl>
    <w:p>
      <w:pPr>
        <w:pStyle w:val="BodyText"/>
      </w:pPr>
      <w:r>
        <w:t xml:space="preserve">A marketing team for a regional grocery chain wants to compare the impact of four advertising strategies on sales.</w:t>
      </w:r>
    </w:p>
    <w:p>
      <w:pPr>
        <w:pStyle w:val="BodyText"/>
      </w:pPr>
      <w:r>
        <w:t xml:space="preserve">The four strategies are:</w:t>
      </w:r>
    </w:p>
    <w:p>
      <w:pPr>
        <w:pStyle w:val="Compact"/>
        <w:numPr>
          <w:ilvl w:val="0"/>
          <w:numId w:val="1001"/>
        </w:numPr>
      </w:pPr>
      <w:r>
        <w:t xml:space="preserve">(Discount) Discount-Driven Ads – highlight weekly price specials.</w:t>
      </w:r>
    </w:p>
    <w:p>
      <w:pPr>
        <w:pStyle w:val="Compact"/>
        <w:numPr>
          <w:ilvl w:val="0"/>
          <w:numId w:val="1001"/>
        </w:numPr>
      </w:pPr>
      <w:r>
        <w:t xml:space="preserve">(Storytelling) Brand Storytelling – focus on local farms and family ownership.</w:t>
      </w:r>
    </w:p>
    <w:p>
      <w:pPr>
        <w:pStyle w:val="Compact"/>
        <w:numPr>
          <w:ilvl w:val="0"/>
          <w:numId w:val="1001"/>
        </w:numPr>
      </w:pPr>
      <w:r>
        <w:t xml:space="preserve">(Digital) Digital-Only – social media and email ads only.</w:t>
      </w:r>
    </w:p>
    <w:p>
      <w:pPr>
        <w:pStyle w:val="Compact"/>
        <w:numPr>
          <w:ilvl w:val="0"/>
          <w:numId w:val="1001"/>
        </w:numPr>
      </w:pPr>
      <w:r>
        <w:t xml:space="preserve">(Events) Community Events – in-person promotions like pop-up tastings.</w:t>
      </w:r>
    </w:p>
    <w:p>
      <w:pPr>
        <w:pStyle w:val="FirstParagraph"/>
      </w:pPr>
      <w:r>
        <w:t xml:space="preserve">There are 16 cities interested in participating in the study. Each city will use one advertising strategy for a 6-week campaign, and overall sales volume during that period will be recorded. However, cities differ greatly in their population size and baseline sales. Larger cities naturally have higher sales, regardless of the advertising strategy.</w:t>
      </w:r>
    </w:p>
    <w:bookmarkStart w:id="31" w:name="part-a-setup"/>
    <w:p>
      <w:pPr>
        <w:pStyle w:val="Heading1"/>
      </w:pPr>
      <w:r>
        <w:t xml:space="preserve">Part A: Setup</w:t>
      </w:r>
    </w:p>
    <w:bookmarkStart w:id="23" w:name="Xb9b8998afb79c9a44797aa01f6e65ddc1055149"/>
    <w:p>
      <w:pPr>
        <w:pStyle w:val="Heading2"/>
      </w:pPr>
      <w:r>
        <w:t xml:space="preserve">1. How would you create blocks for this experiment?</w:t>
      </w:r>
    </w:p>
    <w:bookmarkEnd w:id="23"/>
    <w:bookmarkStart w:id="24" w:name="sketch-a-design-blueprint"/>
    <w:p>
      <w:pPr>
        <w:pStyle w:val="Heading2"/>
      </w:pPr>
      <w:r>
        <w:t xml:space="preserve">2. Sketch a design blueprint</w:t>
      </w:r>
    </w:p>
    <w:p>
      <w:pPr>
        <w:pStyle w:val="FirstParagraph"/>
      </w:pPr>
      <w:r>
        <w:t xml:space="preserve">Clearly draw the blocks, show the experimental units, and how treatments are randomly assigned.</w:t>
      </w:r>
    </w:p>
    <w:bookmarkEnd w:id="24"/>
    <w:bookmarkStart w:id="25" w:name="describe-the-treatment-structure"/>
    <w:p>
      <w:pPr>
        <w:pStyle w:val="Heading2"/>
      </w:pPr>
      <w:r>
        <w:t xml:space="preserve">3. Describe the treatment structure</w:t>
      </w:r>
    </w:p>
    <w:bookmarkEnd w:id="25"/>
    <w:bookmarkStart w:id="30" w:name="describe-the-experimental-structure"/>
    <w:p>
      <w:pPr>
        <w:pStyle w:val="Heading2"/>
      </w:pPr>
      <w:r>
        <w:t xml:space="preserve">4. Describe the experimental structure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RStudio.app/Contents/Resources/app/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 B: Incorrect Analysis</w:t>
            </w:r>
          </w:p>
        </w:tc>
      </w:tr>
      <w:tr>
        <w:trPr>
          <w:cantSplit/>
        </w:trPr>
        <w:tc>
          <w:tcPr>
            <w:tcMar>
              <w:top w:w="108" w:type="dxa"/>
              <w:bottom w:w="108" w:type="dxa"/>
            </w:tcMar>
          </w:tcPr>
          <w:bookmarkStart w:id="29" w:name="Xbe9789af8f7a528c3aee1676ff2b12a39ce2259"/>
          <w:p>
            <w:pPr>
              <w:pStyle w:val="Heading2"/>
            </w:pPr>
            <w:r>
              <w:t xml:space="preserve">5. Run a one-way ANOVA CRD analysis (ignroing block) and record the following:</w:t>
            </w:r>
          </w:p>
          <w:p>
            <w:pPr>
              <w:pStyle w:val="FirstParagraph"/>
            </w:pPr>
            <m:oMathPara>
              <m:oMathParaPr>
                <m:jc m:val="center"/>
              </m:oMathParaPr>
              <m:oMath>
                <m:sSub>
                  <m:e>
                    <m:r>
                      <m:t>y</m:t>
                    </m:r>
                  </m:e>
                  <m:sub>
                    <m:r>
                      <m:t>i</m:t>
                    </m:r>
                  </m:sub>
                </m:sSub>
                <m:r>
                  <m:t>j</m:t>
                </m:r>
                <m:r>
                  <m:rPr>
                    <m:sty m:val="p"/>
                  </m:rPr>
                  <m:t>=</m:t>
                </m:r>
                <m:r>
                  <m:t>μ</m:t>
                </m:r>
                <m:r>
                  <m:rPr>
                    <m:sty m:val="p"/>
                  </m:rPr>
                  <m:t>+</m:t>
                </m:r>
                <m:sSub>
                  <m:e>
                    <m:r>
                      <m:t>τ</m:t>
                    </m:r>
                  </m:e>
                  <m:sub>
                    <m:r>
                      <m:t>i</m:t>
                    </m:r>
                  </m:sub>
                </m:sSub>
                <m:r>
                  <m:rPr>
                    <m:sty m:val="p"/>
                  </m:rPr>
                  <m:t>+</m:t>
                </m:r>
                <m:sSub>
                  <m:e>
                    <m:r>
                      <m:t>ϵ</m:t>
                    </m:r>
                  </m:e>
                  <m:sub>
                    <m:r>
                      <m:t>i</m:t>
                    </m:r>
                    <m:r>
                      <m:t>j</m:t>
                    </m:r>
                  </m:sub>
                </m:sSub>
                <m:r>
                  <m:rPr>
                    <m:nor/>
                    <m:sty m:val="p"/>
                  </m:rPr>
                  <m:t> with </m:t>
                </m:r>
                <m:sSub>
                  <m:e>
                    <m:r>
                      <m:t>ϵ</m:t>
                    </m:r>
                  </m:e>
                  <m:sub>
                    <m:r>
                      <m:t>i</m:t>
                    </m:r>
                    <m:r>
                      <m:t>j</m:t>
                    </m:r>
                  </m:sub>
                </m:sSub>
                <m:r>
                  <m:rPr>
                    <m:nor/>
                    <m:sty m:val="p"/>
                  </m:rPr>
                  <m:t>iid</m:t>
                </m:r>
                <m:r>
                  <m:rPr>
                    <m:sty m:val="p"/>
                  </m:rPr>
                  <m:t>∼</m:t>
                </m:r>
                <m:r>
                  <m:t>N</m:t>
                </m:r>
                <m:d>
                  <m:dPr>
                    <m:begChr m:val="("/>
                    <m:sepChr m:val=""/>
                    <m:endChr m:val=")"/>
                    <m:grow/>
                  </m:dPr>
                  <m:e>
                    <m:r>
                      <m:t>0</m:t>
                    </m:r>
                    <m:sSup>
                      <m:e>
                        <m:r>
                          <m:t>σ</m:t>
                        </m:r>
                      </m:e>
                      <m:sup>
                        <m:r>
                          <m:t>2</m:t>
                        </m:r>
                      </m:sup>
                    </m:sSup>
                  </m:e>
                </m:d>
              </m:oMath>
            </m:oMathPara>
          </w:p>
          <w:p>
            <w:pPr>
              <w:pStyle w:val="FirstParagraph"/>
            </w:pPr>
            <w:r>
              <w:t xml:space="preserve">for</w:t>
            </w:r>
            <w:r>
              <w:t xml:space="preserve"> </w:t>
            </w:r>
            <m:oMath>
              <m:r>
                <m:t>i</m:t>
              </m:r>
              <m:r>
                <m:rPr>
                  <m:sty m:val="p"/>
                </m:rPr>
                <m:t>=</m:t>
              </m:r>
              <m:r>
                <m:t>1</m:t>
              </m:r>
              <m:r>
                <m:rPr>
                  <m:sty m:val="p"/>
                </m:rPr>
                <m:t>,</m:t>
              </m:r>
              <m:r>
                <m:t>2</m:t>
              </m:r>
              <m:r>
                <m:rPr>
                  <m:sty m:val="p"/>
                </m:rPr>
                <m:t>,</m:t>
              </m:r>
              <m:r>
                <m:t>3</m:t>
              </m:r>
              <m:r>
                <m:rPr>
                  <m:sty m:val="p"/>
                </m:rPr>
                <m:t>,</m:t>
              </m:r>
              <m:r>
                <m:t>4</m:t>
              </m:r>
            </m:oMath>
            <w:r>
              <w:t xml:space="preserve"> </w:t>
            </w:r>
            <w:r>
              <w:t xml:space="preserve">and</w:t>
            </w:r>
            <w:r>
              <w:t xml:space="preserve"> </w:t>
            </w:r>
            <m:oMath>
              <m:r>
                <m:t>j</m:t>
              </m:r>
              <m:r>
                <m:rPr>
                  <m:sty m:val="p"/>
                </m:rPr>
                <m:t>=</m:t>
              </m:r>
              <m:r>
                <m:t>1</m:t>
              </m:r>
              <m:r>
                <m:rPr>
                  <m:sty m:val="p"/>
                </m:rPr>
                <m:t>,</m:t>
              </m:r>
              <m:r>
                <m:t>2</m:t>
              </m:r>
              <m:r>
                <m:rPr>
                  <m:sty m:val="p"/>
                </m:rPr>
                <m:t>,</m:t>
              </m:r>
              <m:r>
                <m:t>3</m:t>
              </m:r>
              <m:r>
                <m:rPr>
                  <m:sty m:val="p"/>
                </m:rPr>
                <m:t>,</m:t>
              </m:r>
              <m:r>
                <m:t>4</m:t>
              </m:r>
            </m:oMath>
          </w:p>
          <w:p>
            <w:pPr>
              <w:pStyle w:val="Compact"/>
              <w:numPr>
                <w:ilvl w:val="0"/>
                <w:numId w:val="1002"/>
              </w:numPr>
            </w:pPr>
            <w:r>
              <w:t xml:space="preserve">SST = ________________</w:t>
            </w:r>
          </w:p>
          <w:p>
            <w:pPr>
              <w:pStyle w:val="Compact"/>
              <w:numPr>
                <w:ilvl w:val="0"/>
                <w:numId w:val="1002"/>
              </w:numPr>
            </w:pPr>
            <w:r>
              <w:t xml:space="preserve">SSTrt = ______________</w:t>
            </w:r>
          </w:p>
          <w:p>
            <w:pPr>
              <w:pStyle w:val="Compact"/>
              <w:numPr>
                <w:ilvl w:val="0"/>
                <w:numId w:val="1002"/>
              </w:numPr>
            </w:pPr>
            <w:r>
              <w:t xml:space="preserve">SSE = ________________</w:t>
            </w:r>
            <w:r>
              <w:t xml:space="preserve"> </w:t>
            </w:r>
            <m:oMath>
              <m:r>
                <m:rPr>
                  <m:sty m:val="p"/>
                </m:rPr>
                <m:t>→</m:t>
              </m:r>
            </m:oMath>
            <w:r>
              <w:t xml:space="preserve"> </w:t>
            </w:r>
            <w:r>
              <w:t xml:space="preserve">MSE =</w:t>
            </w:r>
            <w:r>
              <w:t xml:space="preserve"> </w:t>
            </w:r>
            <m:oMath>
              <m:sSup>
                <m:e>
                  <m:acc>
                    <m:accPr>
                      <m:chr m:val="̂"/>
                    </m:accPr>
                    <m:e>
                      <m:r>
                        <m:t>σ</m:t>
                      </m:r>
                    </m:e>
                  </m:acc>
                </m:e>
                <m:sup>
                  <m:r>
                    <m:t>2</m:t>
                  </m:r>
                </m:sup>
              </m:sSup>
            </m:oMath>
            <w:r>
              <w:t xml:space="preserve"> </w:t>
            </w:r>
            <w:r>
              <w:t xml:space="preserve">= _________</w:t>
            </w:r>
          </w:p>
          <w:p/>
        </w:tc>
      </w:tr>
    </w:tbl>
    <w:bookmarkEnd w:id="29"/>
    <w:bookmarkEnd w:id="30"/>
    <w:bookmarkEnd w:id="31"/>
    <w:bookmarkStart w:id="36" w:name="part-c-treatment-and-block-means"/>
    <w:p>
      <w:pPr>
        <w:pStyle w:val="Heading1"/>
      </w:pPr>
      <w:r>
        <w:t xml:space="preserve">Part C: Treatment and Block Means</w:t>
      </w:r>
    </w:p>
    <w:p>
      <w:pPr>
        <w:pStyle w:val="FirstParagraph"/>
      </w:pPr>
      <w:r>
        <w:t xml:space="preserve">The observed sales volumes (in thousands of dollars) are shown below.</w:t>
      </w:r>
    </w:p>
    <w:bookmarkStart w:id="32" w:name="original-sales"/>
    <w:p>
      <w:pPr>
        <w:pStyle w:val="Heading3"/>
      </w:pPr>
      <w:r>
        <w:t xml:space="preserve">Original Sales</w:t>
      </w:r>
    </w:p>
    <w:tbl>
      <w:tblPr>
        <w:tblStyle w:val="Table"/>
        <w:tblW w:type="pct" w:w="4902"/>
        <w:tblLayout w:type="fixed"/>
        <w:tblLook w:firstRow="1" w:lastRow="0" w:firstColumn="0" w:lastColumn="0" w:noHBand="0" w:noVBand="0" w:val="0020"/>
      </w:tblPr>
      <w:tblGrid>
        <w:gridCol w:w="3067"/>
        <w:gridCol w:w="970"/>
        <w:gridCol w:w="543"/>
        <w:gridCol w:w="543"/>
        <w:gridCol w:w="931"/>
        <w:gridCol w:w="1708"/>
      </w:tblGrid>
      <w:tr>
        <w:trPr>
          <w:tblHeader w:val="on"/>
        </w:trPr>
        <w:tc>
          <w:tcPr/>
          <w:p>
            <w:pPr>
              <w:pStyle w:val="Compact"/>
            </w:pPr>
            <w:r>
              <w:t xml:space="preserve">Advertising Strategy</w:t>
            </w:r>
          </w:p>
        </w:tc>
        <w:tc>
          <w:tcPr/>
          <w:p>
            <w:pPr>
              <w:pStyle w:val="Compact"/>
            </w:pPr>
            <w:r>
              <w:t xml:space="preserve">Block j = 1 (Smallest)</w:t>
            </w:r>
          </w:p>
        </w:tc>
        <w:tc>
          <w:tcPr/>
          <w:p>
            <w:pPr>
              <w:pStyle w:val="Compact"/>
            </w:pPr>
            <w:r>
              <w:t xml:space="preserve">Block j = 2</w:t>
            </w:r>
          </w:p>
        </w:tc>
        <w:tc>
          <w:tcPr/>
          <w:p>
            <w:pPr>
              <w:pStyle w:val="Compact"/>
            </w:pPr>
            <w:r>
              <w:t xml:space="preserve">Block j = 3</w:t>
            </w:r>
          </w:p>
        </w:tc>
        <w:tc>
          <w:tcPr/>
          <w:p>
            <w:pPr>
              <w:pStyle w:val="Compact"/>
            </w:pPr>
            <w:r>
              <w:t xml:space="preserve">Block j = 4 (Largest)</w:t>
            </w:r>
          </w:p>
        </w:tc>
        <w:tc>
          <w:tcPr/>
          <w:p>
            <w:pPr>
              <w:pStyle w:val="Compact"/>
            </w:pPr>
            <w:r>
              <w:t xml:space="preserve">Treatment Mean Sales (</w:t>
            </w:r>
            <m:oMath>
              <m:sSub>
                <m:e>
                  <m:acc>
                    <m:accPr>
                      <m:chr m:val="‾"/>
                    </m:accPr>
                    <m:e>
                      <m:r>
                        <m:t>y</m:t>
                      </m:r>
                    </m:e>
                  </m:acc>
                </m:e>
                <m:sub>
                  <m:r>
                    <m:t>i</m:t>
                  </m:r>
                  <m:r>
                    <m:rPr>
                      <m:sty m:val="p"/>
                    </m:rPr>
                    <m:t>⋅</m:t>
                  </m:r>
                </m:sub>
              </m:sSub>
            </m:oMath>
            <w:r>
              <w:t xml:space="preserve">)</w:t>
            </w:r>
          </w:p>
        </w:tc>
      </w:tr>
      <w:tr>
        <w:tc>
          <w:tcPr/>
          <w:p>
            <w:pPr>
              <w:pStyle w:val="Compact"/>
            </w:pPr>
            <w:r>
              <w:t xml:space="preserve">Digital</w:t>
            </w:r>
          </w:p>
        </w:tc>
        <w:tc>
          <w:tcPr/>
          <w:p>
            <w:pPr>
              <w:pStyle w:val="Compact"/>
            </w:pPr>
            <w:r>
              <w:t xml:space="preserve">136</w:t>
            </w:r>
          </w:p>
        </w:tc>
        <w:tc>
          <w:tcPr/>
          <w:p>
            <w:pPr>
              <w:pStyle w:val="Compact"/>
            </w:pPr>
            <w:r>
              <w:t xml:space="preserve">153</w:t>
            </w:r>
          </w:p>
        </w:tc>
        <w:tc>
          <w:tcPr/>
          <w:p>
            <w:pPr>
              <w:pStyle w:val="Compact"/>
            </w:pPr>
            <w:r>
              <w:t xml:space="preserve">203</w:t>
            </w:r>
          </w:p>
        </w:tc>
        <w:tc>
          <w:tcPr/>
          <w:p>
            <w:pPr>
              <w:pStyle w:val="Compact"/>
            </w:pPr>
            <w:r>
              <w:t xml:space="preserve">200</w:t>
            </w:r>
          </w:p>
        </w:tc>
        <w:tc>
          <w:tcPr/>
          <w:p>
            <w:pPr>
              <w:pStyle w:val="Compact"/>
            </w:pPr>
          </w:p>
        </w:tc>
      </w:tr>
      <w:tr>
        <w:tc>
          <w:tcPr/>
          <w:p>
            <w:pPr>
              <w:pStyle w:val="Compact"/>
            </w:pPr>
            <w:r>
              <w:t xml:space="preserve">Discount</w:t>
            </w:r>
          </w:p>
        </w:tc>
        <w:tc>
          <w:tcPr/>
          <w:p>
            <w:pPr>
              <w:pStyle w:val="Compact"/>
            </w:pPr>
            <w:r>
              <w:t xml:space="preserve">147</w:t>
            </w:r>
          </w:p>
        </w:tc>
        <w:tc>
          <w:tcPr/>
          <w:p>
            <w:pPr>
              <w:pStyle w:val="Compact"/>
            </w:pPr>
            <w:r>
              <w:t xml:space="preserve">146</w:t>
            </w:r>
          </w:p>
        </w:tc>
        <w:tc>
          <w:tcPr/>
          <w:p>
            <w:pPr>
              <w:pStyle w:val="Compact"/>
            </w:pPr>
            <w:r>
              <w:t xml:space="preserve">217</w:t>
            </w:r>
          </w:p>
        </w:tc>
        <w:tc>
          <w:tcPr/>
          <w:p>
            <w:pPr>
              <w:pStyle w:val="Compact"/>
            </w:pPr>
            <w:r>
              <w:t xml:space="preserve">225</w:t>
            </w:r>
          </w:p>
        </w:tc>
        <w:tc>
          <w:tcPr/>
          <w:p>
            <w:pPr>
              <w:pStyle w:val="Compact"/>
            </w:pPr>
          </w:p>
        </w:tc>
      </w:tr>
      <w:tr>
        <w:tc>
          <w:tcPr/>
          <w:p>
            <w:pPr>
              <w:pStyle w:val="Compact"/>
            </w:pPr>
            <w:r>
              <w:t xml:space="preserve">Events</w:t>
            </w:r>
          </w:p>
        </w:tc>
        <w:tc>
          <w:tcPr/>
          <w:p>
            <w:pPr>
              <w:pStyle w:val="Compact"/>
            </w:pPr>
            <w:r>
              <w:t xml:space="preserve">162</w:t>
            </w:r>
          </w:p>
        </w:tc>
        <w:tc>
          <w:tcPr/>
          <w:p>
            <w:pPr>
              <w:pStyle w:val="Compact"/>
            </w:pPr>
            <w:r>
              <w:t xml:space="preserve">189</w:t>
            </w:r>
          </w:p>
        </w:tc>
        <w:tc>
          <w:tcPr/>
          <w:p>
            <w:pPr>
              <w:pStyle w:val="Compact"/>
            </w:pPr>
            <w:r>
              <w:t xml:space="preserve">231</w:t>
            </w:r>
          </w:p>
        </w:tc>
        <w:tc>
          <w:tcPr/>
          <w:p>
            <w:pPr>
              <w:pStyle w:val="Compact"/>
            </w:pPr>
            <w:r>
              <w:t xml:space="preserve">228</w:t>
            </w:r>
          </w:p>
        </w:tc>
        <w:tc>
          <w:tcPr/>
          <w:p>
            <w:pPr>
              <w:pStyle w:val="Compact"/>
            </w:pPr>
          </w:p>
        </w:tc>
      </w:tr>
      <w:tr>
        <w:tc>
          <w:tcPr/>
          <w:p>
            <w:pPr>
              <w:pStyle w:val="Compact"/>
            </w:pPr>
            <w:r>
              <w:t xml:space="preserve">Storytelling</w:t>
            </w:r>
          </w:p>
        </w:tc>
        <w:tc>
          <w:tcPr/>
          <w:p>
            <w:pPr>
              <w:pStyle w:val="Compact"/>
            </w:pPr>
            <w:r>
              <w:t xml:space="preserve">184</w:t>
            </w:r>
          </w:p>
        </w:tc>
        <w:tc>
          <w:tcPr/>
          <w:p>
            <w:pPr>
              <w:pStyle w:val="Compact"/>
            </w:pPr>
            <w:r>
              <w:t xml:space="preserve">208</w:t>
            </w:r>
          </w:p>
        </w:tc>
        <w:tc>
          <w:tcPr/>
          <w:p>
            <w:pPr>
              <w:pStyle w:val="Compact"/>
            </w:pPr>
            <w:r>
              <w:t xml:space="preserve">251</w:t>
            </w:r>
          </w:p>
        </w:tc>
        <w:tc>
          <w:tcPr/>
          <w:p>
            <w:pPr>
              <w:pStyle w:val="Compact"/>
            </w:pPr>
            <w:r>
              <w:t xml:space="preserve">257</w:t>
            </w:r>
          </w:p>
        </w:tc>
        <w:tc>
          <w:tcPr/>
          <w:p>
            <w:pPr>
              <w:pStyle w:val="Compact"/>
            </w:pPr>
          </w:p>
        </w:tc>
      </w:tr>
      <w:tr>
        <w:tc>
          <w:tcPr/>
          <w:p>
            <w:pPr>
              <w:pStyle w:val="Compact"/>
            </w:pPr>
            <w:r>
              <w:rPr>
                <w:b/>
                <w:bCs/>
              </w:rPr>
              <w:t xml:space="preserve">Block Mean Sales (</w:t>
            </w:r>
            <m:oMath>
              <m:sSub>
                <m:e>
                  <m:acc>
                    <m:accPr>
                      <m:chr m:val="‾"/>
                    </m:accPr>
                    <m:e>
                      <m:r>
                        <m:t>y</m:t>
                      </m:r>
                    </m:e>
                  </m:acc>
                </m:e>
                <m:sub>
                  <m:r>
                    <m:rPr>
                      <m:sty m:val="p"/>
                    </m:rPr>
                    <m:t>⋅</m:t>
                  </m:r>
                  <m:r>
                    <m:t>j</m:t>
                  </m:r>
                </m:sub>
              </m:sSub>
            </m:oMath>
            <w:r>
              <w:t xml:space="preserve">)</w:t>
            </w:r>
          </w:p>
        </w:tc>
        <w:tc>
          <w:tcPr/>
          <w:p>
            <w:pPr>
              <w:pStyle w:val="Compact"/>
            </w:pPr>
          </w:p>
        </w:tc>
        <w:tc>
          <w:tcPr/>
          <w:p>
            <w:pPr>
              <w:pStyle w:val="Compact"/>
            </w:pPr>
          </w:p>
        </w:tc>
        <w:tc>
          <w:tcPr/>
          <w:p>
            <w:pPr>
              <w:pStyle w:val="Compact"/>
            </w:pPr>
          </w:p>
        </w:tc>
        <w:tc>
          <w:tcPr/>
          <w:p>
            <w:pPr>
              <w:pStyle w:val="Compact"/>
            </w:pPr>
          </w:p>
        </w:tc>
        <w:tc>
          <w:tcPr/>
          <w:p>
            <w:pPr>
              <w:pStyle w:val="Compact"/>
            </w:pPr>
            <m:oMath>
              <m:sSub>
                <m:e>
                  <m:acc>
                    <m:accPr>
                      <m:chr m:val="‾"/>
                    </m:accPr>
                    <m:e>
                      <m:r>
                        <m:t>y</m:t>
                      </m:r>
                    </m:e>
                  </m:acc>
                </m:e>
                <m:sub>
                  <m:r>
                    <m:rPr>
                      <m:sty m:val="p"/>
                    </m:rPr>
                    <m:t>⋅</m:t>
                  </m:r>
                  <m:r>
                    <m:rPr>
                      <m:sty m:val="p"/>
                    </m:rPr>
                    <m:t>⋅</m:t>
                  </m:r>
                </m:sub>
              </m:sSub>
              <m:r>
                <m:rPr>
                  <m:sty m:val="p"/>
                </m:rPr>
                <m:t>=</m:t>
              </m:r>
            </m:oMath>
          </w:p>
        </w:tc>
      </w:tr>
      <w:tr>
        <w:tc>
          <w:tcPr/>
          <w:p>
            <w:pPr>
              <w:pStyle w:val="Compact"/>
            </w:pPr>
            <w:r>
              <w:rPr>
                <w:b/>
                <w:bCs/>
              </w:rPr>
              <w:t xml:space="preserve">Block Effects</w:t>
            </w:r>
            <w:r>
              <w:t xml:space="preserve"> </w:t>
            </w:r>
            <w:r>
              <w:t xml:space="preserve">(</w:t>
            </w:r>
            <m:oMath>
              <m:sSub>
                <m:e>
                  <m:acc>
                    <m:accPr>
                      <m:chr m:val="̂"/>
                    </m:accPr>
                    <m:e>
                      <m:r>
                        <m:t>ρ</m:t>
                      </m:r>
                    </m:e>
                  </m:acc>
                </m:e>
                <m:sub>
                  <m:r>
                    <m:t>j</m:t>
                  </m:r>
                </m:sub>
              </m:sSub>
              <m:r>
                <m:rPr>
                  <m:sty m:val="p"/>
                </m:rPr>
                <m:t>=</m:t>
              </m:r>
              <m:sSub>
                <m:e>
                  <m:acc>
                    <m:accPr>
                      <m:chr m:val="‾"/>
                    </m:accPr>
                    <m:e>
                      <m:r>
                        <m:t>y</m:t>
                      </m:r>
                    </m:e>
                  </m:acc>
                </m:e>
                <m:sub>
                  <m:r>
                    <m:rPr>
                      <m:sty m:val="p"/>
                    </m:rPr>
                    <m:t>⋅</m:t>
                  </m:r>
                  <m:r>
                    <m:t>j</m:t>
                  </m:r>
                </m:sub>
              </m:sSub>
              <m:r>
                <m:rPr>
                  <m:sty m:val="p"/>
                </m:rPr>
                <m:t>−</m:t>
              </m:r>
              <m:sSub>
                <m:e>
                  <m:acc>
                    <m:accPr>
                      <m:chr m:val="‾"/>
                    </m:accPr>
                    <m:e>
                      <m:r>
                        <m:t>y</m:t>
                      </m:r>
                    </m:e>
                  </m:acc>
                </m:e>
                <m:sub>
                  <m:r>
                    <m:rPr>
                      <m:sty m:val="p"/>
                    </m:rPr>
                    <m:t>⋅</m:t>
                  </m:r>
                  <m:r>
                    <m:rPr>
                      <m:sty m:val="p"/>
                    </m:rPr>
                    <m:t>⋅</m:t>
                  </m:r>
                </m:sub>
              </m:sSub>
            </m:oMath>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2"/>
    <w:bookmarkStart w:id="33" w:name="Xf84b3031d5011ae49617aa958a9ce93c0ffd359"/>
    <w:p>
      <w:pPr>
        <w:pStyle w:val="Heading2"/>
      </w:pPr>
      <w:r>
        <w:t xml:space="preserve">6. Compute the treatment mean sales</w:t>
      </w:r>
      <w:r>
        <w:t xml:space="preserve"> </w:t>
      </w:r>
      <m:oMath>
        <m:sSub>
          <m:e>
            <m:acc>
              <m:accPr>
                <m:chr m:val="‾"/>
              </m:accPr>
              <m:e>
                <m:r>
                  <m:t>y</m:t>
                </m:r>
              </m:e>
            </m:acc>
          </m:e>
          <m:sub>
            <m:r>
              <m:t>i</m:t>
            </m:r>
            <m:r>
              <m:rPr>
                <m:sty m:val="p"/>
              </m:rPr>
              <m:t>⋅</m:t>
            </m:r>
          </m:sub>
        </m:sSub>
      </m:oMath>
      <w:r>
        <w:t xml:space="preserve"> </w:t>
      </w:r>
      <w:r>
        <w:t xml:space="preserve">for each advertising strategy and record them below. Record in the table above.</w:t>
      </w:r>
    </w:p>
    <w:bookmarkEnd w:id="33"/>
    <w:bookmarkStart w:id="34" w:name="X50e3fcbc37415e432a05f3119e7cce5cbfe3427"/>
    <w:p>
      <w:pPr>
        <w:pStyle w:val="Heading2"/>
      </w:pPr>
      <w:r>
        <w:t xml:space="preserve">7. Compute the block mean sales</w:t>
      </w:r>
      <w:r>
        <w:t xml:space="preserve"> </w:t>
      </w:r>
      <m:oMath>
        <m:sSub>
          <m:e>
            <m:acc>
              <m:accPr>
                <m:chr m:val="‾"/>
              </m:accPr>
              <m:e>
                <m:r>
                  <m:t>y</m:t>
                </m:r>
              </m:e>
            </m:acc>
          </m:e>
          <m:sub>
            <m:r>
              <m:rPr>
                <m:sty m:val="p"/>
              </m:rPr>
              <m:t>⋅</m:t>
            </m:r>
            <m:r>
              <m:t>j</m:t>
            </m:r>
          </m:sub>
        </m:sSub>
      </m:oMath>
      <w:r>
        <w:t xml:space="preserve"> </w:t>
      </w:r>
      <w:r>
        <w:t xml:space="preserve">for each city size block. Record in the table above.</w:t>
      </w:r>
    </w:p>
    <w:bookmarkEnd w:id="34"/>
    <w:bookmarkStart w:id="35" w:name="X106a8e43985a3fc45e8fd99c142569899c142c9"/>
    <w:p>
      <w:pPr>
        <w:pStyle w:val="Heading2"/>
      </w:pPr>
      <w:r>
        <w:t xml:space="preserve">8. Compute the overall mean sales volume</w:t>
      </w:r>
      <w:r>
        <w:t xml:space="preserve"> </w:t>
      </w:r>
      <m:oMath>
        <m:sSub>
          <m:e>
            <m:acc>
              <m:accPr>
                <m:chr m:val="‾"/>
              </m:accPr>
              <m:e>
                <m:r>
                  <m:t>y</m:t>
                </m:r>
              </m:e>
            </m:acc>
          </m:e>
          <m:sub>
            <m:r>
              <m:rPr>
                <m:sty m:val="p"/>
              </m:rPr>
              <m:t>⋅</m:t>
            </m:r>
            <m:r>
              <m:rPr>
                <m:sty m:val="p"/>
              </m:rPr>
              <m:t>⋅</m:t>
            </m:r>
          </m:sub>
        </m:sSub>
      </m:oMath>
      <w:r>
        <w:t xml:space="preserve">. Record in the table above.</w:t>
      </w:r>
    </w:p>
    <w:bookmarkEnd w:id="35"/>
    <w:bookmarkEnd w:id="36"/>
    <w:bookmarkStart w:id="53" w:name="part-c-block-effects"/>
    <w:p>
      <w:pPr>
        <w:pStyle w:val="Heading1"/>
      </w:pPr>
      <w:r>
        <w:t xml:space="preserve">Part C: Block Effects</w:t>
      </w:r>
    </w:p>
    <w:bookmarkStart w:id="37" w:name="Xb0348841896c808af958b262bd3c32def8d72cf"/>
    <w:p>
      <w:pPr>
        <w:pStyle w:val="Heading2"/>
      </w:pPr>
      <w:r>
        <w:t xml:space="preserve">9. Compute the block effect for each block. Record in the table above.</w:t>
      </w:r>
    </w:p>
    <w:p>
      <w:pPr>
        <w:pStyle w:val="FirstParagraph"/>
      </w:pPr>
      <m:oMathPara>
        <m:oMathParaPr>
          <m:jc m:val="center"/>
        </m:oMathParaPr>
        <m:oMath>
          <m:sSub>
            <m:e>
              <m:acc>
                <m:accPr>
                  <m:chr m:val="̂"/>
                </m:accPr>
                <m:e>
                  <m:r>
                    <m:t>ρ</m:t>
                  </m:r>
                </m:e>
              </m:acc>
            </m:e>
            <m:sub>
              <m:r>
                <m:t>j</m:t>
              </m:r>
            </m:sub>
          </m:sSub>
          <m:r>
            <m:rPr>
              <m:sty m:val="p"/>
            </m:rPr>
            <m:t>=</m:t>
          </m:r>
          <m:sSub>
            <m:e>
              <m:acc>
                <m:accPr>
                  <m:chr m:val="‾"/>
                </m:accPr>
                <m:e>
                  <m:r>
                    <m:t>y</m:t>
                  </m:r>
                </m:e>
              </m:acc>
            </m:e>
            <m:sub>
              <m:r>
                <m:rPr>
                  <m:sty m:val="p"/>
                </m:rPr>
                <m:t>⋅</m:t>
              </m:r>
              <m:r>
                <m:t>j</m:t>
              </m:r>
            </m:sub>
          </m:sSub>
          <m:r>
            <m:rPr>
              <m:sty m:val="p"/>
            </m:rPr>
            <m:t>−</m:t>
          </m:r>
          <m:sSub>
            <m:e>
              <m:acc>
                <m:accPr>
                  <m:chr m:val="‾"/>
                </m:accPr>
                <m:e>
                  <m:r>
                    <m:t>y</m:t>
                  </m:r>
                </m:e>
              </m:acc>
            </m:e>
            <m:sub>
              <m:r>
                <m:rPr>
                  <m:sty m:val="p"/>
                </m:rPr>
                <m:t>⋅</m:t>
              </m:r>
              <m:r>
                <m:rPr>
                  <m:sty m:val="p"/>
                </m:rPr>
                <m:t>⋅</m:t>
              </m:r>
            </m:sub>
          </m:sSub>
        </m:oMath>
      </m:oMathPara>
    </w:p>
    <w:bookmarkEnd w:id="37"/>
    <w:bookmarkStart w:id="40" w:name="use-the-block-effects-to-compute-ssblk"/>
    <w:p>
      <w:pPr>
        <w:pStyle w:val="Heading2"/>
      </w:pPr>
      <w:r>
        <w:t xml:space="preserve">10. Use the block effects to compute SSBlk</w:t>
      </w:r>
    </w:p>
    <w:p>
      <w:pPr>
        <w:pStyle w:val="FirstParagraph"/>
      </w:pPr>
      <w:r>
        <w:rPr>
          <w:i/>
          <w:iCs/>
        </w:rPr>
        <w:t xml:space="preserve">Notice: the</w:t>
      </w:r>
      <w:r>
        <w:t xml:space="preserve"> </w:t>
      </w:r>
      <m:oMath>
        <m:d>
          <m:dPr>
            <m:begChr m:val="("/>
            <m:sepChr m:val=""/>
            <m:endChr m:val=")"/>
            <m:grow/>
          </m:dPr>
          <m:e>
            <m:sSub>
              <m:e>
                <m:acc>
                  <m:accPr>
                    <m:chr m:val="‾"/>
                  </m:accPr>
                  <m:e>
                    <m:r>
                      <m:t>y</m:t>
                    </m:r>
                  </m:e>
                </m:acc>
              </m:e>
              <m:sub>
                <m:r>
                  <m:rPr>
                    <m:sty m:val="p"/>
                  </m:rPr>
                  <m:t>⋅</m:t>
                </m:r>
                <m:r>
                  <m:t>j</m:t>
                </m:r>
              </m:sub>
            </m:sSub>
            <m:r>
              <m:rPr>
                <m:sty m:val="p"/>
              </m:rPr>
              <m:t>−</m:t>
            </m:r>
            <m:sSub>
              <m:e>
                <m:acc>
                  <m:accPr>
                    <m:chr m:val="‾"/>
                  </m:accPr>
                  <m:e>
                    <m:r>
                      <m:t>y</m:t>
                    </m:r>
                  </m:e>
                </m:acc>
              </m:e>
              <m:sub>
                <m:r>
                  <m:rPr>
                    <m:sty m:val="p"/>
                  </m:rPr>
                  <m:t>⋅</m:t>
                </m:r>
                <m:r>
                  <m:rPr>
                    <m:sty m:val="p"/>
                  </m:rPr>
                  <m:t>⋅</m:t>
                </m:r>
              </m:sub>
            </m:sSub>
          </m:e>
        </m:d>
      </m:oMath>
      <w:r>
        <w:t xml:space="preserve"> </w:t>
      </w:r>
      <w:r>
        <w:t xml:space="preserve">inside the parentheses is the</w:t>
      </w:r>
      <w:r>
        <w:t xml:space="preserve"> </w:t>
      </w:r>
      <m:oMath>
        <m:sSub>
          <m:e>
            <m:acc>
              <m:accPr>
                <m:chr m:val="̂"/>
              </m:accPr>
              <m:e>
                <m:r>
                  <m:t>ρ</m:t>
                </m:r>
              </m:e>
            </m:acc>
          </m:e>
          <m:sub>
            <m:r>
              <m:t>j</m:t>
            </m:r>
          </m:sub>
        </m:sSub>
      </m:oMath>
      <w:r>
        <w:t xml:space="preserve"> </w:t>
      </w:r>
      <w:r>
        <w:t xml:space="preserve">you computed in (9).</w:t>
      </w:r>
    </w:p>
    <w:p>
      <w:pPr>
        <w:pStyle w:val="BodyText"/>
      </w:pPr>
      <m:oMathPara>
        <m:oMathParaPr>
          <m:jc m:val="center"/>
        </m:oMathParaPr>
        <m:oMath>
          <m:r>
            <m:t>S</m:t>
          </m:r>
          <m:r>
            <m:t>S</m:t>
          </m:r>
          <m:r>
            <m:t>B</m:t>
          </m:r>
          <m:r>
            <m:t>l</m:t>
          </m:r>
          <m:r>
            <m:t>k</m:t>
          </m:r>
          <m:r>
            <m:rPr>
              <m:sty m:val="p"/>
            </m:rPr>
            <m:t>=</m:t>
          </m:r>
          <m:r>
            <m:t>t</m:t>
          </m:r>
          <m:nary>
            <m:naryPr>
              <m:chr m:val="∑"/>
              <m:limLoc m:val="undOvr"/>
              <m:subHide m:val="off"/>
              <m:supHide m:val="on"/>
            </m:naryPr>
            <m:sub>
              <m:r>
                <m:t>j</m:t>
              </m:r>
            </m:sub>
            <m:sup>
              <m:r>
                <m:t>​</m:t>
              </m:r>
            </m:sup>
            <m:e>
              <m:sSup>
                <m:e>
                  <m:d>
                    <m:dPr>
                      <m:begChr m:val="("/>
                      <m:sepChr m:val=""/>
                      <m:endChr m:val=")"/>
                      <m:grow/>
                    </m:dPr>
                    <m:e>
                      <m:sSub>
                        <m:e>
                          <m:acc>
                            <m:accPr>
                              <m:chr m:val="‾"/>
                            </m:accPr>
                            <m:e>
                              <m:r>
                                <m:t>y</m:t>
                              </m:r>
                            </m:e>
                          </m:acc>
                        </m:e>
                        <m:sub>
                          <m:r>
                            <m:rPr>
                              <m:sty m:val="p"/>
                            </m:rPr>
                            <m:t>⋅</m:t>
                          </m:r>
                          <m:r>
                            <m:t>j</m:t>
                          </m:r>
                        </m:sub>
                      </m:sSub>
                      <m:r>
                        <m:rPr>
                          <m:sty m:val="p"/>
                        </m:rPr>
                        <m:t>−</m:t>
                      </m:r>
                      <m:sSub>
                        <m:e>
                          <m:acc>
                            <m:accPr>
                              <m:chr m:val="‾"/>
                            </m:accPr>
                            <m:e>
                              <m:r>
                                <m:t>y</m:t>
                              </m:r>
                            </m:e>
                          </m:acc>
                        </m:e>
                        <m:sub>
                          <m:r>
                            <m:rPr>
                              <m:sty m:val="p"/>
                            </m:rPr>
                            <m:t>⋅</m:t>
                          </m:r>
                          <m:r>
                            <m:rPr>
                              <m:sty m:val="p"/>
                            </m:rPr>
                            <m:t>⋅</m:t>
                          </m:r>
                        </m:sub>
                      </m:sSub>
                    </m:e>
                  </m:d>
                </m:e>
                <m:sup>
                  <m:r>
                    <m:t>2</m:t>
                  </m:r>
                </m:sup>
              </m:sSup>
            </m:e>
          </m:nary>
          <m:r>
            <m:rPr>
              <m:sty m:val="p"/>
            </m:rPr>
            <m:t>=</m:t>
          </m:r>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RStudio.app/Contents/Resources/app/quarto/share/formats/docx/note.png" id="3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Recall, the purpose of the block design is to</w:t>
            </w:r>
            <w:r>
              <w:t xml:space="preserve"> </w:t>
            </w:r>
            <w:r>
              <w:t xml:space="preserve">“remove”</w:t>
            </w:r>
            <w:r>
              <w:t xml:space="preserve"> </w:t>
            </w:r>
            <w:r>
              <w:t xml:space="preserve">the variation explained by the blocking variable from the SSE, thus reducing the experimental error variation (MSE).</w:t>
            </w:r>
          </w:p>
          <w:p/>
        </w:tc>
      </w:tr>
    </w:tbl>
    <w:bookmarkEnd w:id="40"/>
    <w:bookmarkStart w:id="41" w:name="part-d-block-adjusted-sales"/>
    <w:p>
      <w:pPr>
        <w:pStyle w:val="Heading2"/>
      </w:pPr>
      <w:r>
        <w:t xml:space="preserve">Part D: Block Adjusted Sales</w:t>
      </w:r>
    </w:p>
    <w:bookmarkEnd w:id="41"/>
    <w:bookmarkStart w:id="43" w:name="Xb66a8aae0cc010c1ab6468bb80624f24873a83a"/>
    <w:p>
      <w:pPr>
        <w:pStyle w:val="Heading2"/>
      </w:pPr>
      <w:r>
        <w:t xml:space="preserve">11. Using the block effects from the table above, adjust each observed sales volume value by the associated block effect</w:t>
      </w:r>
      <w:r>
        <w:t xml:space="preserve"> </w:t>
      </w:r>
      <m:oMath>
        <m:d>
          <m:dPr>
            <m:begChr m:val="("/>
            <m:sepChr m:val=""/>
            <m:endChr m:val=")"/>
            <m:grow/>
          </m:dPr>
          <m:e>
            <m:sSub>
              <m:e>
                <m:r>
                  <m:t>y</m:t>
                </m:r>
              </m:e>
              <m:sub>
                <m:r>
                  <m:t>i</m:t>
                </m:r>
                <m:r>
                  <m:t>j</m:t>
                </m:r>
              </m:sub>
            </m:sSub>
            <m:r>
              <m:rPr>
                <m:sty m:val="p"/>
              </m:rPr>
              <m:t>−</m:t>
            </m:r>
            <m:sSub>
              <m:e>
                <m:r>
                  <m:t>ρ</m:t>
                </m:r>
              </m:e>
              <m:sub>
                <m:r>
                  <m:t>j</m:t>
                </m:r>
              </m:sub>
            </m:sSub>
          </m:e>
        </m:d>
      </m:oMath>
      <w:r>
        <w:t xml:space="preserve">. Record in the table below.</w:t>
      </w:r>
    </w:p>
    <w:p>
      <w:pPr>
        <w:pStyle w:val="FirstParagraph"/>
      </w:pPr>
      <w:r>
        <w:rPr>
          <w:i/>
          <w:iCs/>
        </w:rPr>
        <w:t xml:space="preserve">Note, you are essentially</w:t>
      </w:r>
      <w:r>
        <w:rPr>
          <w:i/>
          <w:iCs/>
        </w:rPr>
        <w:t xml:space="preserve"> </w:t>
      </w:r>
      <w:r>
        <w:rPr>
          <w:i/>
          <w:iCs/>
        </w:rPr>
        <w:t xml:space="preserve">“removing”</w:t>
      </w:r>
      <w:r>
        <w:rPr>
          <w:i/>
          <w:iCs/>
        </w:rPr>
        <w:t xml:space="preserve"> </w:t>
      </w:r>
      <w:r>
        <w:rPr>
          <w:i/>
          <w:iCs/>
        </w:rPr>
        <w:t xml:space="preserve">the effect of city from the sales.</w:t>
      </w:r>
    </w:p>
    <w:p>
      <w:r>
        <w:br w:type="page"/>
      </w:r>
    </w:p>
    <w:bookmarkStart w:id="42" w:name="block-adjusted-sales"/>
    <w:p>
      <w:pPr>
        <w:pStyle w:val="Heading3"/>
      </w:pPr>
      <w:r>
        <w:t xml:space="preserve">Block-adjusted Sales</w:t>
      </w:r>
    </w:p>
    <w:tbl>
      <w:tblPr>
        <w:tblStyle w:val="Table"/>
        <w:tblW w:type="pct" w:w="4836"/>
        <w:tblLayout w:type="fixed"/>
        <w:tblLook w:firstRow="1" w:lastRow="0" w:firstColumn="0" w:lastColumn="0" w:noHBand="0" w:noVBand="0" w:val="0020"/>
      </w:tblPr>
      <w:tblGrid>
        <w:gridCol w:w="1493"/>
        <w:gridCol w:w="1622"/>
        <w:gridCol w:w="908"/>
        <w:gridCol w:w="908"/>
        <w:gridCol w:w="1558"/>
        <w:gridCol w:w="1168"/>
      </w:tblGrid>
      <w:tr>
        <w:trPr>
          <w:tblHeader w:val="on"/>
        </w:trPr>
        <w:tc>
          <w:tcPr/>
          <w:p>
            <w:pPr>
              <w:pStyle w:val="Compact"/>
            </w:pPr>
            <w:r>
              <w:t xml:space="preserve">Advertising Strategy</w:t>
            </w:r>
          </w:p>
        </w:tc>
        <w:tc>
          <w:tcPr/>
          <w:p>
            <w:pPr>
              <w:pStyle w:val="Compact"/>
            </w:pPr>
            <w:r>
              <w:t xml:space="preserve">Block j = 1 (Smallest)</w:t>
            </w:r>
          </w:p>
        </w:tc>
        <w:tc>
          <w:tcPr/>
          <w:p>
            <w:pPr>
              <w:pStyle w:val="Compact"/>
            </w:pPr>
            <w:r>
              <w:t xml:space="preserve">Block j = 2</w:t>
            </w:r>
          </w:p>
        </w:tc>
        <w:tc>
          <w:tcPr/>
          <w:p>
            <w:pPr>
              <w:pStyle w:val="Compact"/>
            </w:pPr>
            <w:r>
              <w:t xml:space="preserve">Block j = 3</w:t>
            </w:r>
          </w:p>
        </w:tc>
        <w:tc>
          <w:tcPr/>
          <w:p>
            <w:pPr>
              <w:pStyle w:val="Compact"/>
            </w:pPr>
            <w:r>
              <w:t xml:space="preserve">Block j = 4 (Largest)</w:t>
            </w:r>
          </w:p>
        </w:tc>
        <w:tc>
          <w:tcPr/>
          <w:p>
            <w:pPr>
              <w:pStyle w:val="Compact"/>
            </w:pPr>
            <w:r>
              <w:t xml:space="preserve">Block-adjusted</w:t>
            </w:r>
            <w:r>
              <w:br/>
            </w:r>
            <w:r>
              <w:t xml:space="preserve">Treatment Mean</w:t>
            </w:r>
            <w:r>
              <w:br/>
            </w:r>
            <w:r>
              <w:t xml:space="preserve">Sales</w:t>
            </w:r>
          </w:p>
        </w:tc>
      </w:tr>
      <w:tr>
        <w:tc>
          <w:tcPr/>
          <w:p>
            <w:pPr>
              <w:pStyle w:val="Compact"/>
            </w:pPr>
            <w:r>
              <w:t xml:space="preserve">Digital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Discount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Events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Storytelling</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2"/>
    <w:bookmarkEnd w:id="43"/>
    <w:bookmarkStart w:id="44" w:name="Xf23854cf5b8ee3e0416c494a6db26394a5e78f4"/>
    <w:p>
      <w:pPr>
        <w:pStyle w:val="Heading2"/>
      </w:pPr>
      <w:r>
        <w:t xml:space="preserve">12. Calculate the block adjusted mean sales. Record in the table above.</w:t>
      </w:r>
    </w:p>
    <w:p>
      <w:pPr>
        <w:pStyle w:val="Compact"/>
        <w:numPr>
          <w:ilvl w:val="0"/>
          <w:numId w:val="1003"/>
        </w:numPr>
      </w:pPr>
      <w:r>
        <w:t xml:space="preserve">What do you notice about the block-adjusted mean sales compared to the original mean sales?</w:t>
      </w:r>
    </w:p>
    <w:p>
      <w:pPr>
        <w:pStyle w:val="Compact"/>
        <w:numPr>
          <w:ilvl w:val="0"/>
          <w:numId w:val="1004"/>
        </w:numPr>
      </w:pPr>
      <w:r>
        <w:t xml:space="preserve">Would the SSTrt change when using the block-adjusted mean sales? Recall</w:t>
      </w:r>
      <w:r>
        <w:t xml:space="preserve"> </w:t>
      </w:r>
      <m:oMath>
        <m:r>
          <m:t>S</m:t>
        </m:r>
        <m:r>
          <m:t>S</m:t>
        </m:r>
        <m:r>
          <m:t>T</m:t>
        </m:r>
        <m:r>
          <m:t>r</m:t>
        </m:r>
        <m:r>
          <m:t>t</m:t>
        </m:r>
        <m:r>
          <m:rPr>
            <m:sty m:val="p"/>
          </m:rPr>
          <m:t>=</m:t>
        </m:r>
        <m:r>
          <m:t>r</m:t>
        </m:r>
        <m:nary>
          <m:naryPr>
            <m:chr m:val="∑"/>
            <m:limLoc m:val="undOvr"/>
            <m:subHide m:val="off"/>
            <m:supHide m:val="on"/>
          </m:naryPr>
          <m:sub>
            <m:r>
              <m:t>i</m:t>
            </m:r>
          </m:sub>
          <m:sup>
            <m:r>
              <m:t>​</m:t>
            </m:r>
          </m:sup>
          <m:e>
            <m:sSup>
              <m:e>
                <m:d>
                  <m:dPr>
                    <m:begChr m:val="("/>
                    <m:sepChr m:val=""/>
                    <m:endChr m:val=")"/>
                    <m:grow/>
                  </m:dPr>
                  <m:e>
                    <m:sSub>
                      <m:e>
                        <m:acc>
                          <m:accPr>
                            <m:chr m:val="‾"/>
                          </m:accPr>
                          <m:e>
                            <m:r>
                              <m:t>y</m:t>
                            </m:r>
                          </m:e>
                        </m:acc>
                      </m:e>
                      <m:sub>
                        <m:r>
                          <m:t>i</m:t>
                        </m:r>
                        <m:r>
                          <m:rPr>
                            <m:sty m:val="p"/>
                          </m:rPr>
                          <m:t>⋅</m:t>
                        </m:r>
                      </m:sub>
                    </m:sSub>
                    <m:r>
                      <m:rPr>
                        <m:sty m:val="p"/>
                      </m:rPr>
                      <m:t>−</m:t>
                    </m:r>
                    <m:sSub>
                      <m:e>
                        <m:acc>
                          <m:accPr>
                            <m:chr m:val="‾"/>
                          </m:accPr>
                          <m:e>
                            <m:r>
                              <m:t>y</m:t>
                            </m:r>
                          </m:e>
                        </m:acc>
                      </m:e>
                      <m:sub>
                        <m:r>
                          <m:rPr>
                            <m:sty m:val="p"/>
                          </m:rPr>
                          <m:t>⋅</m:t>
                        </m:r>
                        <m:r>
                          <m:rPr>
                            <m:sty m:val="p"/>
                          </m:rPr>
                          <m:t>⋅</m:t>
                        </m:r>
                      </m:sub>
                    </m:sSub>
                  </m:e>
                </m:d>
              </m:e>
              <m:sup>
                <m:r>
                  <m:t>2</m:t>
                </m:r>
              </m:sup>
            </m:sSup>
          </m:e>
        </m:nary>
      </m:oMath>
      <w:r>
        <w:t xml:space="preserve">.</w:t>
      </w:r>
    </w:p>
    <w:bookmarkEnd w:id="44"/>
    <w:bookmarkStart w:id="48" w:name="X9f79bc469d1271df7c47fc93d88acbdb161a946"/>
    <w:p>
      <w:pPr>
        <w:pStyle w:val="Heading2"/>
      </w:pPr>
      <w:r>
        <w:t xml:space="preserve">13. What do you notice about the variability of the block-adjusted sales within each advertising strategy compared to the original variability of sales (without block-adjusted sales)?</w:t>
      </w:r>
    </w:p>
    <w:p>
      <w:pPr>
        <w:pStyle w:val="FirstParagraph"/>
      </w:pPr>
      <w:r>
        <w:drawing>
          <wp:inline>
            <wp:extent cx="3467100" cy="1779901"/>
            <wp:effectExtent b="0" l="0" r="0" t="0"/>
            <wp:docPr descr="" title="" id="46" name="Picture"/>
            <a:graphic>
              <a:graphicData uri="http://schemas.openxmlformats.org/drawingml/2006/picture">
                <pic:pic>
                  <pic:nvPicPr>
                    <pic:cNvPr descr="https://github.com/earobinson95/stat323-calpoly/blob/main/flipped-style/05-rcbd/images/block-adjusted-figure-city-size.png?raw=true" id="47" name="Picture"/>
                    <pic:cNvPicPr>
                      <a:picLocks noChangeArrowheads="1" noChangeAspect="1"/>
                    </pic:cNvPicPr>
                  </pic:nvPicPr>
                  <pic:blipFill>
                    <a:blip r:embed="rId45"/>
                    <a:stretch>
                      <a:fillRect/>
                    </a:stretch>
                  </pic:blipFill>
                  <pic:spPr bwMode="auto">
                    <a:xfrm>
                      <a:off x="0" y="0"/>
                      <a:ext cx="3467100" cy="1779901"/>
                    </a:xfrm>
                    <a:prstGeom prst="rect">
                      <a:avLst/>
                    </a:prstGeom>
                    <a:noFill/>
                    <a:ln w="9525">
                      <a:noFill/>
                      <a:headEnd/>
                      <a:tailEnd/>
                    </a:ln>
                  </pic:spPr>
                </pic:pic>
              </a:graphicData>
            </a:graphic>
          </wp:inline>
        </w:drawing>
      </w:r>
    </w:p>
    <w:bookmarkEnd w:id="48"/>
    <w:bookmarkStart w:id="49" w:name="part-e-rcbd-analysis"/>
    <w:p>
      <w:pPr>
        <w:pStyle w:val="Heading2"/>
      </w:pPr>
      <w:r>
        <w:t xml:space="preserve">Part E: RCBD Analysis</w:t>
      </w:r>
    </w:p>
    <w:p>
      <w:pPr>
        <w:pStyle w:val="FirstParagraph"/>
      </w:pPr>
      <w:r>
        <w:t xml:space="preserve">Consider the statistical effects model that accounts for the block effect.</w:t>
      </w:r>
    </w:p>
    <w:p>
      <w:pPr>
        <w:pStyle w:val="BodyText"/>
      </w:pPr>
      <m:oMathPara>
        <m:oMathParaPr>
          <m:jc m:val="center"/>
        </m:oMathParaPr>
        <m:oMath>
          <m:sSub>
            <m:e>
              <m:r>
                <m:t>y</m:t>
              </m:r>
            </m:e>
            <m:sub>
              <m:r>
                <m:t>i</m:t>
              </m:r>
              <m:r>
                <m:t>j</m:t>
              </m:r>
            </m:sub>
          </m:sSub>
          <m:r>
            <m:rPr>
              <m:sty m:val="p"/>
            </m:rPr>
            <m:t>=</m:t>
          </m:r>
          <m:r>
            <m:t>μ</m:t>
          </m:r>
          <m:r>
            <m:rPr>
              <m:sty m:val="p"/>
            </m:rPr>
            <m:t>+</m:t>
          </m:r>
          <m:sSub>
            <m:e>
              <m:r>
                <m:t>τ</m:t>
              </m:r>
            </m:e>
            <m:sub>
              <m:r>
                <m:t>i</m:t>
              </m:r>
            </m:sub>
          </m:sSub>
          <m:r>
            <m:rPr>
              <m:sty m:val="p"/>
            </m:rPr>
            <m:t>+</m:t>
          </m:r>
          <m:sSub>
            <m:e>
              <m:r>
                <m:t>ρ</m:t>
              </m:r>
            </m:e>
            <m:sub>
              <m:r>
                <m:t>j</m:t>
              </m:r>
            </m:sub>
          </m:sSub>
          <m:r>
            <m:rPr>
              <m:sty m:val="p"/>
            </m:rPr>
            <m:t>+</m:t>
          </m:r>
          <m:sSub>
            <m:e>
              <m:r>
                <m:t>ϵ</m:t>
              </m:r>
            </m:e>
            <m:sub>
              <m:r>
                <m:t>i</m:t>
              </m:r>
              <m:r>
                <m:t>j</m:t>
              </m:r>
            </m:sub>
          </m:sSub>
          <m:r>
            <m:rPr>
              <m:nor/>
              <m:sty m:val="p"/>
            </m:rPr>
            <m:t> with </m:t>
          </m:r>
          <m:sSub>
            <m:e>
              <m:r>
                <m:t>ϵ</m:t>
              </m:r>
            </m:e>
            <m:sub>
              <m:r>
                <m:t>i</m:t>
              </m:r>
              <m:r>
                <m:t>j</m:t>
              </m:r>
            </m:sub>
          </m:sSub>
          <m:r>
            <m:rPr>
              <m:nor/>
              <m:sty m:val="p"/>
            </m:rPr>
            <m:t>iid</m:t>
          </m:r>
          <m:r>
            <m:rPr>
              <m:sty m:val="p"/>
            </m:rPr>
            <m:t>∼</m:t>
          </m:r>
          <m:r>
            <m:t>N</m:t>
          </m:r>
          <m:d>
            <m:dPr>
              <m:begChr m:val="("/>
              <m:sepChr m:val=""/>
              <m:endChr m:val=")"/>
              <m:grow/>
            </m:dPr>
            <m:e>
              <m:r>
                <m:t>0</m:t>
              </m:r>
              <m:r>
                <m:rPr>
                  <m:sty m:val="p"/>
                </m:rPr>
                <m:t>,</m:t>
              </m:r>
              <m:sSup>
                <m:e>
                  <m:r>
                    <m:t>σ</m:t>
                  </m:r>
                </m:e>
                <m:sup>
                  <m:r>
                    <m:t>2</m:t>
                  </m:r>
                </m:sup>
              </m:sSup>
            </m:e>
          </m:d>
        </m:oMath>
      </m:oMathPara>
    </w:p>
    <w:p>
      <w:pPr>
        <w:pStyle w:val="FirstParagraph"/>
      </w:pPr>
      <w:r>
        <w:t xml:space="preserve">for</w:t>
      </w:r>
      <w:r>
        <w:t xml:space="preserve"> </w:t>
      </w:r>
      <m:oMath>
        <m:r>
          <m:t>i</m:t>
        </m:r>
        <m:r>
          <m:rPr>
            <m:sty m:val="p"/>
          </m:rPr>
          <m:t>=</m:t>
        </m:r>
        <m:r>
          <m:t>1</m:t>
        </m:r>
        <m:r>
          <m:rPr>
            <m:sty m:val="p"/>
          </m:rPr>
          <m:t>,</m:t>
        </m:r>
        <m:r>
          <m:t>2</m:t>
        </m:r>
        <m:r>
          <m:rPr>
            <m:sty m:val="p"/>
          </m:rPr>
          <m:t>,</m:t>
        </m:r>
        <m:r>
          <m:t>3</m:t>
        </m:r>
        <m:r>
          <m:rPr>
            <m:sty m:val="p"/>
          </m:rPr>
          <m:t>,</m:t>
        </m:r>
        <m:r>
          <m:t>4</m:t>
        </m:r>
      </m:oMath>
      <w:r>
        <w:t xml:space="preserve"> </w:t>
      </w:r>
      <w:r>
        <w:t xml:space="preserve">and</w:t>
      </w:r>
      <w:r>
        <w:t xml:space="preserve"> </w:t>
      </w:r>
      <m:oMath>
        <m:r>
          <m:t>j</m:t>
        </m:r>
        <m:r>
          <m:rPr>
            <m:sty m:val="p"/>
          </m:rPr>
          <m:t>=</m:t>
        </m:r>
        <m:r>
          <m:t>1</m:t>
        </m:r>
        <m:r>
          <m:rPr>
            <m:sty m:val="p"/>
          </m:rPr>
          <m:t>,</m:t>
        </m:r>
        <m:r>
          <m:t>2</m:t>
        </m:r>
        <m:r>
          <m:rPr>
            <m:sty m:val="p"/>
          </m:rPr>
          <m:t>,</m:t>
        </m:r>
        <m:r>
          <m:t>3</m:t>
        </m:r>
        <m:r>
          <m:rPr>
            <m:sty m:val="p"/>
          </m:rPr>
          <m:t>,</m:t>
        </m:r>
        <m:r>
          <m:t>4</m:t>
        </m:r>
      </m:oMath>
    </w:p>
    <w:bookmarkEnd w:id="49"/>
    <w:bookmarkStart w:id="50" w:name="complete-the-skeleton-anova-below"/>
    <w:p>
      <w:pPr>
        <w:pStyle w:val="Heading2"/>
      </w:pPr>
      <w:r>
        <w:t xml:space="preserve">14. Complete the skeleton ANOVA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 of Variation</w:t>
            </w:r>
          </w:p>
        </w:tc>
        <w:tc>
          <w:tcPr/>
          <w:p>
            <w:pPr>
              <w:pStyle w:val="Compact"/>
            </w:pPr>
            <w:r>
              <w:t xml:space="preserve">DF: Total = _________</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50"/>
    <w:bookmarkStart w:id="51" w:name="Xc1201816d6c6afde205cde215c4d6b0a7ac0a66"/>
    <w:p>
      <w:pPr>
        <w:pStyle w:val="Heading2"/>
      </w:pPr>
      <w:r>
        <w:t xml:space="preserve">15. Use R/JMP to fit the statistical effects model specified above. Record the following:</w:t>
      </w:r>
    </w:p>
    <w:p>
      <w:pPr>
        <w:pStyle w:val="Compact"/>
        <w:numPr>
          <w:ilvl w:val="0"/>
          <w:numId w:val="1005"/>
        </w:numPr>
      </w:pPr>
      <w:r>
        <w:t xml:space="preserve">SSE = __________</w:t>
      </w:r>
    </w:p>
    <w:p>
      <w:pPr>
        <w:pStyle w:val="Compact"/>
        <w:numPr>
          <w:ilvl w:val="0"/>
          <w:numId w:val="1005"/>
        </w:numPr>
      </w:pPr>
      <w:r>
        <w:t xml:space="preserve">MSE =</w:t>
      </w:r>
      <w:r>
        <w:t xml:space="preserve"> </w:t>
      </w:r>
      <m:oMath>
        <m:sSup>
          <m:e>
            <m:acc>
              <m:accPr>
                <m:chr m:val="̂"/>
              </m:accPr>
              <m:e>
                <m:r>
                  <m:t>σ</m:t>
                </m:r>
              </m:e>
            </m:acc>
          </m:e>
          <m:sup>
            <m:r>
              <m:t>2</m:t>
            </m:r>
          </m:sup>
        </m:sSup>
      </m:oMath>
      <w:r>
        <w:t xml:space="preserve"> </w:t>
      </w:r>
      <w:r>
        <w:t xml:space="preserve">= __________</w:t>
      </w:r>
    </w:p>
    <w:bookmarkEnd w:id="51"/>
    <w:bookmarkStart w:id="52" w:name="Xe838e6aee5ba4bd1d1fbf3ea6dbcf0291bf1529"/>
    <w:p>
      <w:pPr>
        <w:pStyle w:val="Heading2"/>
      </w:pPr>
      <w:r>
        <w:t xml:space="preserve">16. How does your experimental error in (15) using the statistical effects model to account for the block effect compare to the experimental error calculated in (5) ignoring the effect of block?</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5.1: Reducing Variability with Blocking</dc:title>
  <dc:creator/>
  <cp:keywords/>
  <dcterms:created xsi:type="dcterms:W3CDTF">2026-02-10T05:18:18Z</dcterms:created>
  <dcterms:modified xsi:type="dcterms:W3CDTF">2026-02-10T05:18:18Z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Advertising Strategies</vt:lpwstr>
  </property>
  <property fmtid="{D5CDD505-2E9C-101B-9397-08002B2CF9AE}" pid="9" name="toc-title">
    <vt:lpwstr>Table of contents</vt:lpwstr>
  </property>
</Properties>
</file>