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Trirong" w:cs="Trirong" w:eastAsia="Trirong" w:hAnsi="Trirong"/>
          <w:b/>
          <w:bCs/>
          <w:color w:val="23555A"/>
          <w:spacing w:val="200"/>
          <w:sz w:val="28"/>
          <w:szCs w:val="28"/>
        </w:rPr>
        <w:t xml:space="preserve">GPW SOLUTIONS</w:t>
      </w:r>
    </w:p>
    <w:p>
      <w:pPr>
        <w:pBdr>
          <w:bottom w:val="single" w:color="ED835E" w:sz="8" w:space="1"/>
        </w:pBdr>
        <w:spacing w:after="300"/>
        <w:jc w:val="center"/>
      </w:pPr>
    </w:p>
    <w:p>
      <w:pPr>
        <w:spacing w:after="120"/>
        <w:jc w:val="center"/>
      </w:pPr>
      <w:r>
        <w:rPr>
          <w:rFonts w:ascii="Trirong" w:cs="Trirong" w:eastAsia="Trirong" w:hAnsi="Trirong"/>
          <w:b/>
          <w:bCs/>
          <w:color w:val="23555A"/>
          <w:sz w:val="56"/>
          <w:szCs w:val="56"/>
        </w:rPr>
        <w:t xml:space="preserve">Website Copy</w:t>
      </w:r>
    </w:p>
    <w:p>
      <w:pPr>
        <w:spacing w:after="400"/>
        <w:jc w:val="center"/>
      </w:pPr>
      <w:r>
        <w:rPr>
          <w:rFonts w:ascii="Trirong" w:cs="Trirong" w:eastAsia="Trirong" w:hAnsi="Trirong"/>
          <w:color w:val="2A4E64"/>
          <w:sz w:val="40"/>
          <w:szCs w:val="40"/>
        </w:rPr>
        <w:t xml:space="preserve">EMS Division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3555A" w:sz="1"/>
              <w:left w:val="single" w:color="23555A" w:sz="1"/>
              <w:bottom w:val="single" w:color="23555A" w:sz="1"/>
              <w:right w:val="single" w:color="23555A" w:sz="1"/>
            </w:tcBorders>
            <w:shd w:fill="EAF2F3" w:val="clear"/>
            <w:tcMar>
              <w:top w:type="dxa" w:w="100"/>
              <w:left w:type="dxa" w:w="120"/>
              <w:bottom w:type="dxa" w:w="100"/>
              <w:right w:type="dxa" w:w="120"/>
            </w:tcMar>
          </w:tcPr>
          <w:p>
            <w:pPr>
              <w:spacing w:after="40"/>
              <w:jc w:val="center"/>
            </w:pPr>
            <w:r>
              <w:rPr>
                <w:rFonts w:ascii="Lato" w:cs="Lato" w:eastAsia="Lato" w:hAnsi="Lato"/>
                <w:color w:val="666666"/>
                <w:sz w:val="16"/>
                <w:szCs w:val="16"/>
              </w:rPr>
              <w:t xml:space="preserve">URL</w:t>
            </w:r>
          </w:p>
          <w:p>
            <w:pPr>
              <w:jc w:val="center"/>
            </w:pPr>
            <w:r>
              <w:rPr>
                <w:rFonts w:ascii="Lato" w:cs="Lato" w:eastAsia="Lato" w:hAnsi="Lato"/>
                <w:b/>
                <w:bCs/>
                <w:color w:val="23555A"/>
                <w:sz w:val="22"/>
                <w:szCs w:val="22"/>
              </w:rPr>
              <w:t xml:space="preserve">/</w:t>
            </w:r>
          </w:p>
        </w:tc>
        <w:tc>
          <w:tcPr>
            <w:tcW w:type="dxa" w:w="2340"/>
            <w:tcBorders>
              <w:top w:val="single" w:color="23555A" w:sz="1"/>
              <w:left w:val="single" w:color="23555A" w:sz="1"/>
              <w:bottom w:val="single" w:color="23555A" w:sz="1"/>
              <w:right w:val="single" w:color="23555A" w:sz="1"/>
            </w:tcBorders>
            <w:shd w:fill="EAF2F3" w:val="clear"/>
            <w:tcMar>
              <w:top w:type="dxa" w:w="100"/>
              <w:left w:type="dxa" w:w="120"/>
              <w:bottom w:type="dxa" w:w="100"/>
              <w:right w:type="dxa" w:w="120"/>
            </w:tcMar>
          </w:tcPr>
          <w:p>
            <w:pPr>
              <w:spacing w:after="40"/>
              <w:jc w:val="center"/>
            </w:pPr>
            <w:r>
              <w:rPr>
                <w:rFonts w:ascii="Lato" w:cs="Lato" w:eastAsia="Lato" w:hAnsi="Lato"/>
                <w:color w:val="666666"/>
                <w:sz w:val="16"/>
                <w:szCs w:val="16"/>
              </w:rPr>
              <w:t xml:space="preserve">Word Count</w:t>
            </w:r>
          </w:p>
          <w:p>
            <w:pPr>
              <w:jc w:val="center"/>
            </w:pPr>
            <w:r>
              <w:rPr>
                <w:rFonts w:ascii="Lato" w:cs="Lato" w:eastAsia="Lato" w:hAnsi="Lato"/>
                <w:b/>
                <w:bCs/>
                <w:color w:val="23555A"/>
                <w:sz w:val="22"/>
                <w:szCs w:val="22"/>
              </w:rPr>
              <w:t xml:space="preserve">1,500-1,800</w:t>
            </w:r>
          </w:p>
        </w:tc>
        <w:tc>
          <w:tcPr>
            <w:tcW w:type="dxa" w:w="2340"/>
            <w:tcBorders>
              <w:top w:val="single" w:color="23555A" w:sz="1"/>
              <w:left w:val="single" w:color="23555A" w:sz="1"/>
              <w:bottom w:val="single" w:color="23555A" w:sz="1"/>
              <w:right w:val="single" w:color="23555A" w:sz="1"/>
            </w:tcBorders>
            <w:shd w:fill="EAF2F3" w:val="clear"/>
            <w:tcMar>
              <w:top w:type="dxa" w:w="100"/>
              <w:left w:type="dxa" w:w="120"/>
              <w:bottom w:type="dxa" w:w="100"/>
              <w:right w:type="dxa" w:w="120"/>
            </w:tcMar>
          </w:tcPr>
          <w:p>
            <w:pPr>
              <w:spacing w:after="40"/>
              <w:jc w:val="center"/>
            </w:pPr>
            <w:r>
              <w:rPr>
                <w:rFonts w:ascii="Lato" w:cs="Lato" w:eastAsia="Lato" w:hAnsi="Lato"/>
                <w:color w:val="666666"/>
                <w:sz w:val="16"/>
                <w:szCs w:val="16"/>
              </w:rPr>
              <w:t xml:space="preserve">Priority</w:t>
            </w:r>
          </w:p>
          <w:p>
            <w:pPr>
              <w:jc w:val="center"/>
            </w:pPr>
            <w:r>
              <w:rPr>
                <w:rFonts w:ascii="Lato" w:cs="Lato" w:eastAsia="Lato" w:hAnsi="Lato"/>
                <w:b/>
                <w:bCs/>
                <w:color w:val="23555A"/>
                <w:sz w:val="22"/>
                <w:szCs w:val="22"/>
              </w:rPr>
              <w:t xml:space="preserve">P0</w:t>
            </w:r>
          </w:p>
        </w:tc>
        <w:tc>
          <w:tcPr>
            <w:tcW w:type="dxa" w:w="2340"/>
            <w:tcBorders>
              <w:top w:val="single" w:color="23555A" w:sz="1"/>
              <w:left w:val="single" w:color="23555A" w:sz="1"/>
              <w:bottom w:val="single" w:color="23555A" w:sz="1"/>
              <w:right w:val="single" w:color="23555A" w:sz="1"/>
            </w:tcBorders>
            <w:shd w:fill="EAF2F3" w:val="clear"/>
            <w:tcMar>
              <w:top w:type="dxa" w:w="100"/>
              <w:left w:type="dxa" w:w="120"/>
              <w:bottom w:type="dxa" w:w="100"/>
              <w:right w:type="dxa" w:w="120"/>
            </w:tcMar>
          </w:tcPr>
          <w:p>
            <w:pPr>
              <w:spacing w:after="40"/>
              <w:jc w:val="center"/>
            </w:pPr>
            <w:r>
              <w:rPr>
                <w:rFonts w:ascii="Lato" w:cs="Lato" w:eastAsia="Lato" w:hAnsi="Lato"/>
                <w:color w:val="666666"/>
                <w:sz w:val="16"/>
                <w:szCs w:val="16"/>
              </w:rPr>
              <w:t xml:space="preserve">Phase</w:t>
            </w:r>
          </w:p>
          <w:p>
            <w:pPr>
              <w:jc w:val="center"/>
            </w:pPr>
            <w:r>
              <w:rPr>
                <w:rFonts w:ascii="Lato" w:cs="Lato" w:eastAsia="Lato" w:hAnsi="Lato"/>
                <w:b/>
                <w:bCs/>
                <w:color w:val="23555A"/>
                <w:sz w:val="22"/>
                <w:szCs w:val="22"/>
              </w:rPr>
              <w:t xml:space="preserve">Phase 3</w:t>
            </w:r>
          </w:p>
        </w:tc>
      </w:tr>
    </w:tbl>
    <w:p>
      <w:pPr>
        <w:spacing w:before="600"/>
      </w:pPr>
    </w:p>
    <w:p>
      <w:pPr>
        <w:spacing w:after="80"/>
        <w:jc w:val="center"/>
      </w:pPr>
      <w:r>
        <w:rPr>
          <w:rFonts w:ascii="Lato" w:cs="Lato" w:eastAsia="Lato" w:hAnsi="Lato"/>
          <w:color w:val="666666"/>
          <w:sz w:val="22"/>
          <w:szCs w:val="22"/>
        </w:rPr>
        <w:t xml:space="preserve">March 2026</w:t>
      </w:r>
    </w:p>
    <w:p>
      <w:pPr>
        <w:jc w:val="center"/>
      </w:pPr>
      <w:r>
        <w:rPr>
          <w:rFonts w:ascii="Lato" w:cs="Lato" w:eastAsia="Lato" w:hAnsi="Lato"/>
          <w:i/>
          <w:iCs/>
          <w:color w:val="666666"/>
          <w:sz w:val="20"/>
          <w:szCs w:val="20"/>
        </w:rPr>
        <w:t xml:space="preserve">Phase 3: Content Creation</w:t>
      </w:r>
    </w:p>
    <w:p>
      <w:pPr>
        <w:sectPr>
          <w:pgSz w:w="12240" w:h="15840" w:orient="portrait"/>
          <w:pgMar w:top="1440" w:right="1440" w:bottom="1440" w:left="1440" w:header="708" w:footer="708" w:gutter="0"/>
          <w:pgNumType/>
          <w:docGrid w:linePitch="360"/>
        </w:sectPr>
      </w:pPr>
    </w:p>
    <w:p>
      <w:pPr>
        <w:spacing w:after="80"/>
      </w:pPr>
      <w:r>
        <w:rPr>
          <w:rFonts w:ascii="Lato" w:cs="Lato" w:eastAsia="Lato" w:hAnsi="Lato"/>
          <w:b/>
          <w:bCs/>
          <w:i w:val="false"/>
          <w:iCs w:val="false"/>
          <w:color w:val="2A4E64"/>
          <w:sz w:val="20"/>
          <w:szCs w:val="20"/>
        </w:rPr>
        <w:t xml:space="preserve">Page Type: </w:t>
      </w:r>
      <w:r>
        <w:rPr>
          <w:rFonts w:ascii="Lato" w:cs="Lato" w:eastAsia="Lato" w:hAnsi="Lato"/>
          <w:b w:val="false"/>
          <w:bCs w:val="false"/>
          <w:i w:val="false"/>
          <w:iCs w:val="false"/>
          <w:color w:val="666666"/>
          <w:sz w:val="20"/>
          <w:szCs w:val="20"/>
        </w:rPr>
        <w:t xml:space="preserve">Division Home | **Word Count Target:** 2,000–2,500 | **Priority:** P0</w:t>
      </w:r>
    </w:p>
    <w:p>
      <w:pPr>
        <w:spacing w:after="80"/>
      </w:pPr>
      <w:r>
        <w:rPr>
          <w:rFonts w:ascii="Lato" w:cs="Lato" w:eastAsia="Lato" w:hAnsi="Lato"/>
          <w:b/>
          <w:bCs/>
          <w:i w:val="false"/>
          <w:iCs w:val="false"/>
          <w:color w:val="2A4E64"/>
          <w:sz w:val="20"/>
          <w:szCs w:val="20"/>
        </w:rPr>
        <w:t xml:space="preserve">Primary CTA: </w:t>
      </w:r>
      <w:r>
        <w:rPr>
          <w:rFonts w:ascii="Lato" w:cs="Lato" w:eastAsia="Lato" w:hAnsi="Lato"/>
          <w:b w:val="false"/>
          <w:bCs w:val="false"/>
          <w:i w:val="false"/>
          <w:iCs w:val="false"/>
          <w:color w:val="666666"/>
          <w:sz w:val="20"/>
          <w:szCs w:val="20"/>
        </w:rPr>
        <w:t xml:space="preserve">Explore Our Services | **Secondary CTA:** Request a Quote</w:t>
      </w:r>
    </w:p>
    <w:p>
      <w:pPr>
        <w:spacing w:after="80"/>
      </w:pPr>
      <w:r>
        <w:rPr>
          <w:rFonts w:ascii="Lato" w:cs="Lato" w:eastAsia="Lato" w:hAnsi="Lato"/>
          <w:b/>
          <w:bCs/>
          <w:i w:val="false"/>
          <w:iCs w:val="false"/>
          <w:color w:val="2A4E64"/>
          <w:sz w:val="20"/>
          <w:szCs w:val="20"/>
        </w:rPr>
        <w:t xml:space="preserve">Content Pillars: </w:t>
      </w:r>
      <w:r>
        <w:rPr>
          <w:rFonts w:ascii="Lato" w:cs="Lato" w:eastAsia="Lato" w:hAnsi="Lato"/>
          <w:b w:val="false"/>
          <w:bCs w:val="false"/>
          <w:i w:val="false"/>
          <w:iCs w:val="false"/>
          <w:color w:val="666666"/>
          <w:sz w:val="20"/>
          <w:szCs w:val="20"/>
        </w:rPr>
        <w:t xml:space="preserve">Assembly Services, Industry Expertise, Nearshore Advantage</w:t>
      </w:r>
    </w:p>
    <w:p>
      <w:pPr>
        <w:spacing w:after="80"/>
      </w:pPr>
      <w:r>
        <w:rPr>
          <w:rFonts w:ascii="Lato" w:cs="Lato" w:eastAsia="Lato" w:hAnsi="Lato"/>
          <w:b/>
          <w:bCs/>
          <w:i w:val="false"/>
          <w:iCs w:val="false"/>
          <w:color w:val="2A4E64"/>
          <w:sz w:val="20"/>
          <w:szCs w:val="20"/>
        </w:rPr>
        <w:t xml:space="preserve">SEO Title: </w:t>
      </w:r>
      <w:r>
        <w:rPr>
          <w:rFonts w:ascii="Lato" w:cs="Lato" w:eastAsia="Lato" w:hAnsi="Lato"/>
          <w:b w:val="false"/>
          <w:bCs w:val="false"/>
          <w:i w:val="false"/>
          <w:iCs w:val="false"/>
          <w:color w:val="666666"/>
          <w:sz w:val="20"/>
          <w:szCs w:val="20"/>
        </w:rPr>
        <w:t xml:space="preserve">GPW | Electromechanical Assembly Services in Monterrey, Mexico</w:t>
      </w:r>
    </w:p>
    <w:p>
      <w:pPr>
        <w:spacing w:after="80"/>
      </w:pPr>
      <w:r>
        <w:rPr>
          <w:rFonts w:ascii="Lato" w:cs="Lato" w:eastAsia="Lato" w:hAnsi="Lato"/>
          <w:b/>
          <w:bCs/>
          <w:i w:val="false"/>
          <w:iCs w:val="false"/>
          <w:color w:val="2A4E64"/>
          <w:sz w:val="20"/>
          <w:szCs w:val="20"/>
        </w:rPr>
        <w:t xml:space="preserve">Meta Description: </w:t>
      </w:r>
      <w:r>
        <w:rPr>
          <w:rFonts w:ascii="Lato" w:cs="Lato" w:eastAsia="Lato" w:hAnsi="Lato"/>
          <w:b w:val="false"/>
          <w:bCs w:val="false"/>
          <w:i w:val="false"/>
          <w:iCs w:val="false"/>
          <w:color w:val="666666"/>
          <w:sz w:val="20"/>
          <w:szCs w:val="20"/>
        </w:rPr>
        <w:t xml:space="preserve">Global Precision Works delivers electromechanical assembly for U.S. OEMs — box build, cable harness, system integration, and testing from Monterrey. Request a quote.</w:t>
      </w:r>
    </w:p>
    <w:p>
      <w:pPr>
        <w:pBdr>
          <w:bottom w:val="single" w:color="ADCF91" w:sz="6" w:space="1"/>
        </w:pBdr>
        <w:spacing w:after="200" w:before="200"/>
      </w:pPr>
    </w:p>
    <w:p>
      <w:pPr>
        <w:pStyle w:val="Heading2"/>
        <w:spacing w:after="120" w:before="280"/>
      </w:pPr>
      <w:r>
        <w:rPr>
          <w:rFonts w:ascii="Trirong" w:cs="Trirong" w:eastAsia="Trirong" w:hAnsi="Trirong"/>
          <w:b/>
          <w:bCs/>
          <w:color w:val="23555A"/>
          <w:sz w:val="30"/>
          <w:szCs w:val="30"/>
        </w:rPr>
        <w:t xml:space="preserve">SECTION 1: Hero</w:t>
      </w:r>
    </w:p>
    <w:p>
      <w:pPr>
        <w:spacing w:after="80"/>
      </w:pPr>
      <w:r>
        <w:rPr>
          <w:rFonts w:ascii="Lato" w:cs="Lato" w:eastAsia="Lato" w:hAnsi="Lato"/>
          <w:b/>
          <w:bCs/>
          <w:i w:val="false"/>
          <w:iCs w:val="false"/>
          <w:color w:val="2A4E64"/>
          <w:sz w:val="20"/>
          <w:szCs w:val="20"/>
        </w:rPr>
        <w:t xml:space="preserve">Headline: </w:t>
      </w:r>
      <w:r>
        <w:rPr>
          <w:rFonts w:ascii="Lato" w:cs="Lato" w:eastAsia="Lato" w:hAnsi="Lato"/>
          <w:b w:val="false"/>
          <w:bCs w:val="false"/>
          <w:i w:val="false"/>
          <w:iCs w:val="false"/>
          <w:color w:val="666666"/>
          <w:sz w:val="20"/>
          <w:szCs w:val="20"/>
        </w:rPr>
        <w:t xml:space="preserve">Electromechanical Assembly. Complex Builds. Nearshore Speed.</w:t>
      </w:r>
    </w:p>
    <w:p>
      <w:pPr>
        <w:spacing w:after="80"/>
      </w:pPr>
      <w:r>
        <w:rPr>
          <w:rFonts w:ascii="Lato" w:cs="Lato" w:eastAsia="Lato" w:hAnsi="Lato"/>
          <w:b/>
          <w:bCs/>
          <w:i w:val="false"/>
          <w:iCs w:val="false"/>
          <w:color w:val="2A4E64"/>
          <w:sz w:val="20"/>
          <w:szCs w:val="20"/>
        </w:rPr>
        <w:t xml:space="preserve">Subheadline: </w:t>
      </w:r>
      <w:r>
        <w:rPr>
          <w:rFonts w:ascii="Lato" w:cs="Lato" w:eastAsia="Lato" w:hAnsi="Lato"/>
          <w:b w:val="false"/>
          <w:bCs w:val="false"/>
          <w:i w:val="false"/>
          <w:iCs w:val="false"/>
          <w:color w:val="666666"/>
          <w:sz w:val="20"/>
          <w:szCs w:val="20"/>
        </w:rPr>
        <w:t xml:space="preserve">Assembly-first electromechanical manufacturing. Global Precision Works (GPW) integrates mechanical, electrical, and cabling into finished products — tested, packaged, and shipped from Monterrey to your dock in days.</w:t>
      </w:r>
    </w:p>
    <w:p>
      <w:pPr>
        <w:spacing w:after="80"/>
      </w:pPr>
      <w:r>
        <w:rPr>
          <w:rFonts w:ascii="Lato" w:cs="Lato" w:eastAsia="Lato" w:hAnsi="Lato"/>
          <w:b/>
          <w:bCs/>
          <w:i w:val="false"/>
          <w:iCs w:val="false"/>
          <w:color w:val="2A4E64"/>
          <w:sz w:val="20"/>
          <w:szCs w:val="20"/>
        </w:rPr>
        <w:t xml:space="preserve">CTA Button (Coral): </w:t>
      </w:r>
      <w:r>
        <w:rPr>
          <w:rFonts w:ascii="Lato" w:cs="Lato" w:eastAsia="Lato" w:hAnsi="Lato"/>
          <w:b w:val="false"/>
          <w:bCs w:val="false"/>
          <w:i w:val="false"/>
          <w:iCs w:val="false"/>
          <w:color w:val="666666"/>
          <w:sz w:val="20"/>
          <w:szCs w:val="20"/>
        </w:rPr>
        <w:t xml:space="preserve">Explore Our Services</w:t>
      </w:r>
    </w:p>
    <w:p>
      <w:pPr>
        <w:spacing w:after="80"/>
      </w:pPr>
      <w:r>
        <w:rPr>
          <w:rFonts w:ascii="Lato" w:cs="Lato" w:eastAsia="Lato" w:hAnsi="Lato"/>
          <w:b/>
          <w:bCs/>
          <w:i w:val="false"/>
          <w:iCs w:val="false"/>
          <w:color w:val="2A4E64"/>
          <w:sz w:val="20"/>
          <w:szCs w:val="20"/>
        </w:rPr>
        <w:t xml:space="preserve">Trust Badges: </w:t>
      </w:r>
      <w:r>
        <w:rPr>
          <w:rFonts w:ascii="Lato" w:cs="Lato" w:eastAsia="Lato" w:hAnsi="Lato"/>
          <w:b w:val="false"/>
          <w:bCs w:val="false"/>
          <w:i w:val="false"/>
          <w:iCs w:val="false"/>
          <w:color w:val="666666"/>
          <w:sz w:val="20"/>
          <w:szCs w:val="20"/>
        </w:rPr>
        <w:t xml:space="preserve">IPC-A-610 &amp; IPC-A-620 certification in progress · USMCA-compliant · Pursuing ISO 9001</w:t>
      </w:r>
    </w:p>
    <w:p>
      <w:pPr>
        <w:pBdr>
          <w:bottom w:val="single" w:color="ADCF91" w:sz="6" w:space="1"/>
        </w:pBdr>
        <w:spacing w:after="200" w:before="200"/>
      </w:pPr>
    </w:p>
    <w:p>
      <w:pPr>
        <w:pStyle w:val="Heading2"/>
        <w:spacing w:after="120" w:before="280"/>
      </w:pPr>
      <w:r>
        <w:rPr>
          <w:rFonts w:ascii="Trirong" w:cs="Trirong" w:eastAsia="Trirong" w:hAnsi="Trirong"/>
          <w:b/>
          <w:bCs/>
          <w:color w:val="23555A"/>
          <w:sz w:val="30"/>
          <w:szCs w:val="30"/>
        </w:rPr>
        <w:t xml:space="preserve">SECTION 2: What Is Electromechanical Assembly?</w:t>
      </w:r>
    </w:p>
    <w:p>
      <w:pPr>
        <w:spacing w:after="80"/>
      </w:pPr>
      <w:r>
        <w:rPr>
          <w:rFonts w:ascii="Lato" w:cs="Lato" w:eastAsia="Lato" w:hAnsi="Lato"/>
          <w:b/>
          <w:bCs/>
          <w:i w:val="false"/>
          <w:iCs w:val="false"/>
          <w:color w:val="2A4E64"/>
          <w:sz w:val="20"/>
          <w:szCs w:val="20"/>
        </w:rPr>
        <w:t xml:space="preserve">Definition Block (AI-extractable): </w:t>
      </w:r>
      <w:r>
        <w:rPr>
          <w:rFonts w:ascii="Lato" w:cs="Lato" w:eastAsia="Lato" w:hAnsi="Lato"/>
          <w:b w:val="false"/>
          <w:bCs w:val="false"/>
          <w:i w:val="false"/>
          <w:iCs w:val="false"/>
          <w:color w:val="666666"/>
          <w:sz w:val="20"/>
          <w:szCs w:val="20"/>
        </w:rPr>
        <w:t xml:space="preserve">Electromechanical assembly is the process of integrating mechanical structures, electrical components, wiring, and cabling into a finished or semi-finished product. It operates at the system level — combining chassis, enclosures, harnesses, connectors, and tested sub-assemblies into complete units ready for deployment. Typical electromechanical assemblies include server racks, telecom cabinets, industrial control panels, medical equipment enclosures, and energy distribution systems.</w:t>
      </w:r>
    </w:p>
    <w:p>
      <w:pPr>
        <w:spacing w:after="80"/>
      </w:pPr>
      <w:r>
        <w:rPr>
          <w:rFonts w:ascii="Lato" w:cs="Lato" w:eastAsia="Lato" w:hAnsi="Lato"/>
          <w:b/>
          <w:bCs/>
          <w:i w:val="false"/>
          <w:iCs w:val="false"/>
          <w:color w:val="2A4E64"/>
          <w:sz w:val="20"/>
          <w:szCs w:val="20"/>
        </w:rPr>
        <w:t xml:space="preserve">What GPW Does Differently: </w:t>
      </w:r>
      <w:r>
        <w:rPr>
          <w:rFonts w:ascii="Lato" w:cs="Lato" w:eastAsia="Lato" w:hAnsi="Lato"/>
          <w:b w:val="false"/>
          <w:bCs w:val="false"/>
          <w:i w:val="false"/>
          <w:iCs w:val="false"/>
          <w:color w:val="666666"/>
          <w:sz w:val="20"/>
          <w:szCs w:val="20"/>
        </w:rPr>
        <w:t xml:space="preserve">GPW takes your bill of materials — the chassis, the boards, the connectors, the cables, the fasteners — and assembles them into a complete product. We mount components, route cables, integrate sub-assemblies, load firmware, run functional tests, and package the finished unit for shipment. Every step happens under one roof, managed by one program team.</w:t>
      </w:r>
    </w:p>
    <w:p>
      <w:pPr>
        <w:spacing w:after="160"/>
      </w:pPr>
      <w:r>
        <w:rPr>
          <w:rFonts w:ascii="Lato" w:cs="Lato" w:eastAsia="Lato" w:hAnsi="Lato"/>
          <w:b w:val="false"/>
          <w:bCs w:val="false"/>
          <w:i w:val="false"/>
          <w:iCs w:val="false"/>
          <w:color w:val="1A1A1A"/>
          <w:sz w:val="22"/>
          <w:szCs w:val="22"/>
        </w:rPr>
        <w:t xml:space="preserve">This is assembly-first manufacturing. It demands precision at every station — engineering discipline, cross-trained operators, and rigorous quality gates that single-process shops cannot sustain.</w:t>
      </w:r>
    </w:p>
    <w:p>
      <w:pPr>
        <w:spacing w:after="160"/>
      </w:pPr>
      <w:r>
        <w:rPr>
          <w:rFonts w:ascii="Lato" w:cs="Lato" w:eastAsia="Lato" w:hAnsi="Lato"/>
          <w:b w:val="false"/>
          <w:bCs w:val="false"/>
          <w:i w:val="false"/>
          <w:iCs w:val="false"/>
          <w:color w:val="1A1A1A"/>
          <w:sz w:val="22"/>
          <w:szCs w:val="22"/>
        </w:rPr>
        <w:t xml:space="preserve">Our engineering team reviews every design for manufacturability before production begins. We identify tolerance risks, suggest assembly-friendly modifications, and align on workmanship standards — so the first unit off the line meets spec, not the tenth.</w:t>
      </w:r>
    </w:p>
    <w:p>
      <w:pPr>
        <w:spacing w:after="160"/>
      </w:pPr>
      <w:r>
        <w:rPr>
          <w:rFonts w:ascii="Lato" w:cs="Lato" w:eastAsia="Lato" w:hAnsi="Lato"/>
          <w:b/>
          <w:bCs/>
          <w:i w:val="false"/>
          <w:iCs w:val="false"/>
          <w:color w:val="ED835E"/>
          <w:sz w:val="22"/>
          <w:szCs w:val="22"/>
        </w:rPr>
        <w:t xml:space="preserve">What makes us different from typical EMS providers? →</w:t>
      </w:r>
    </w:p>
    <w:p>
      <w:pPr>
        <w:pBdr>
          <w:bottom w:val="single" w:color="ADCF91" w:sz="6" w:space="1"/>
        </w:pBdr>
        <w:spacing w:after="200" w:before="200"/>
      </w:pPr>
    </w:p>
    <w:p>
      <w:pPr>
        <w:pStyle w:val="Heading2"/>
        <w:spacing w:after="120" w:before="280"/>
      </w:pPr>
      <w:r>
        <w:rPr>
          <w:rFonts w:ascii="Trirong" w:cs="Trirong" w:eastAsia="Trirong" w:hAnsi="Trirong"/>
          <w:b/>
          <w:bCs/>
          <w:color w:val="23555A"/>
          <w:sz w:val="30"/>
          <w:szCs w:val="30"/>
        </w:rPr>
        <w:t xml:space="preserve">SECTION 3: 5 Core Services — From Component to Complete Product</w:t>
      </w:r>
    </w:p>
    <w:p>
      <w:pPr>
        <w:spacing w:after="160"/>
      </w:pPr>
      <w:r>
        <w:rPr>
          <w:rFonts w:ascii="Lato" w:cs="Lato" w:eastAsia="Lato" w:hAnsi="Lato"/>
          <w:b w:val="false"/>
          <w:bCs w:val="false"/>
          <w:i w:val="false"/>
          <w:iCs w:val="false"/>
          <w:color w:val="1A1A1A"/>
          <w:sz w:val="22"/>
          <w:szCs w:val="22"/>
        </w:rPr>
        <w:t xml:space="preserve">GPW's electromechanical assembly capabilities span 5 core service areas — each one engineered for a specific stage of the build process. Most customer projects combine two or more into a single, integrated program.</w:t>
      </w:r>
    </w:p>
    <w:p>
      <w:pPr>
        <w:pBdr>
          <w:bottom w:val="single" w:color="ADCF91" w:sz="6" w:space="1"/>
        </w:pBdr>
        <w:spacing w:after="200" w:before="200"/>
      </w:pPr>
    </w:p>
    <w:p>
      <w:pPr>
        <w:pStyle w:val="Heading3"/>
        <w:spacing w:after="120" w:before="200"/>
      </w:pPr>
      <w:r>
        <w:rPr>
          <w:rFonts w:ascii="Trirong" w:cs="Trirong" w:eastAsia="Trirong" w:hAnsi="Trirong"/>
          <w:b/>
          <w:bCs/>
          <w:color w:val="2A4E64"/>
          <w:sz w:val="26"/>
          <w:szCs w:val="26"/>
        </w:rPr>
        <w:t xml:space="preserve">Box Build Integration — From BOM to Finished Unit</w:t>
      </w:r>
    </w:p>
    <w:p>
      <w:pPr>
        <w:spacing w:after="160"/>
      </w:pPr>
      <w:r>
        <w:rPr>
          <w:rFonts w:ascii="Lato" w:cs="Lato" w:eastAsia="Lato" w:hAnsi="Lato"/>
          <w:b w:val="false"/>
          <w:bCs w:val="false"/>
          <w:i w:val="false"/>
          <w:iCs w:val="false"/>
          <w:color w:val="1A1A1A"/>
          <w:sz w:val="22"/>
          <w:szCs w:val="22"/>
        </w:rPr>
        <w:t xml:space="preserve">Your product is more than a board. It is a chassis with components mounted inside, cables routed through, and firmware loaded onto. GPW handles the full box build — mechanical assembly, electrical integration, cabling, and testing — delivering a finished product, not a collection of parts.</w:t>
      </w:r>
    </w:p>
    <w:p>
      <w:pPr>
        <w:spacing w:after="160"/>
      </w:pPr>
      <w:r>
        <w:rPr>
          <w:rFonts w:ascii="Lato" w:cs="Lato" w:eastAsia="Lato" w:hAnsi="Lato"/>
          <w:b w:val="false"/>
          <w:bCs w:val="false"/>
          <w:i w:val="false"/>
          <w:iCs w:val="false"/>
          <w:color w:val="1A1A1A"/>
          <w:sz w:val="22"/>
          <w:szCs w:val="22"/>
        </w:rPr>
        <w:t xml:space="preserve">From rack-mount servers to industrial control panels, we build complete systems that ship ready for deployment. Each box build follows a documented assembly sequence with quality gates at every major step — component verification, mechanical assembly, electrical integration, firmware load, and final test.</w:t>
      </w:r>
    </w:p>
    <w:p>
      <w:pPr>
        <w:spacing w:after="160"/>
      </w:pPr>
      <w:r>
        <w:rPr>
          <w:rFonts w:ascii="Lato" w:cs="Lato" w:eastAsia="Lato" w:hAnsi="Lato"/>
          <w:b/>
          <w:bCs/>
          <w:i w:val="false"/>
          <w:iCs w:val="false"/>
          <w:color w:val="ED835E"/>
          <w:sz w:val="22"/>
          <w:szCs w:val="22"/>
        </w:rPr>
        <w:t xml:space="preserve">Explore Box Build Assembly →</w:t>
      </w:r>
    </w:p>
    <w:p>
      <w:pPr>
        <w:pBdr>
          <w:bottom w:val="single" w:color="ADCF91" w:sz="6" w:space="1"/>
        </w:pBdr>
        <w:spacing w:after="200" w:before="200"/>
      </w:pPr>
    </w:p>
    <w:p>
      <w:pPr>
        <w:pStyle w:val="Heading3"/>
        <w:spacing w:after="120" w:before="200"/>
      </w:pPr>
      <w:r>
        <w:rPr>
          <w:rFonts w:ascii="Trirong" w:cs="Trirong" w:eastAsia="Trirong" w:hAnsi="Trirong"/>
          <w:b/>
          <w:bCs/>
          <w:color w:val="2A4E64"/>
          <w:sz w:val="26"/>
          <w:szCs w:val="26"/>
        </w:rPr>
        <w:t xml:space="preserve">Cable &amp; Wire Harness Assembly — Every Connection Verified</w:t>
      </w:r>
    </w:p>
    <w:p>
      <w:pPr>
        <w:spacing w:after="160"/>
      </w:pPr>
      <w:r>
        <w:rPr>
          <w:rFonts w:ascii="Lato" w:cs="Lato" w:eastAsia="Lato" w:hAnsi="Lato"/>
          <w:b w:val="false"/>
          <w:bCs w:val="false"/>
          <w:i w:val="false"/>
          <w:iCs w:val="false"/>
          <w:color w:val="1A1A1A"/>
          <w:sz w:val="22"/>
          <w:szCs w:val="22"/>
        </w:rPr>
        <w:t xml:space="preserve">Every electromechanical product depends on cables. GPW builds custom cable and wire harnesses to print — from simple power leads to complex multi-conductor harnesses with hundreds of termination points.</w:t>
      </w:r>
    </w:p>
    <w:p>
      <w:pPr>
        <w:spacing w:after="160"/>
      </w:pPr>
      <w:r>
        <w:rPr>
          <w:rFonts w:ascii="Lato" w:cs="Lato" w:eastAsia="Lato" w:hAnsi="Lato"/>
          <w:b w:val="false"/>
          <w:bCs w:val="false"/>
          <w:i w:val="false"/>
          <w:iCs w:val="false"/>
          <w:color w:val="1A1A1A"/>
          <w:sz w:val="22"/>
          <w:szCs w:val="22"/>
        </w:rPr>
        <w:t xml:space="preserve">We test every harness for continuity, insulation resistance, and hi-pot before it moves to integration. Your cables arrive at the assembly station verified and ready. We handle connector crimping, terminal insertion, wire marking, and over-braiding — built to IPC-A-620 workmanship standards.</w:t>
      </w:r>
    </w:p>
    <w:p>
      <w:pPr>
        <w:spacing w:after="160"/>
      </w:pPr>
      <w:r>
        <w:rPr>
          <w:rFonts w:ascii="Lato" w:cs="Lato" w:eastAsia="Lato" w:hAnsi="Lato"/>
          <w:b/>
          <w:bCs/>
          <w:i w:val="false"/>
          <w:iCs w:val="false"/>
          <w:color w:val="ED835E"/>
          <w:sz w:val="22"/>
          <w:szCs w:val="22"/>
        </w:rPr>
        <w:t xml:space="preserve">Explore Cable &amp; Harness Assembly →</w:t>
      </w:r>
    </w:p>
    <w:p>
      <w:pPr>
        <w:pBdr>
          <w:bottom w:val="single" w:color="ADCF91" w:sz="6" w:space="1"/>
        </w:pBdr>
        <w:spacing w:after="200" w:before="200"/>
      </w:pPr>
    </w:p>
    <w:p>
      <w:pPr>
        <w:pStyle w:val="Heading3"/>
        <w:spacing w:after="120" w:before="200"/>
      </w:pPr>
      <w:r>
        <w:rPr>
          <w:rFonts w:ascii="Trirong" w:cs="Trirong" w:eastAsia="Trirong" w:hAnsi="Trirong"/>
          <w:b/>
          <w:bCs/>
          <w:color w:val="2A4E64"/>
          <w:sz w:val="26"/>
          <w:szCs w:val="26"/>
        </w:rPr>
        <w:t xml:space="preserve">System Integration — One Team, One Roof, One Program</w:t>
      </w:r>
    </w:p>
    <w:p>
      <w:pPr>
        <w:spacing w:after="160"/>
      </w:pPr>
      <w:r>
        <w:rPr>
          <w:rFonts w:ascii="Lato" w:cs="Lato" w:eastAsia="Lato" w:hAnsi="Lato"/>
          <w:b w:val="false"/>
          <w:bCs w:val="false"/>
          <w:i w:val="false"/>
          <w:iCs w:val="false"/>
          <w:color w:val="1A1A1A"/>
          <w:sz w:val="22"/>
          <w:szCs w:val="22"/>
        </w:rPr>
        <w:t xml:space="preserve">System integration is where individual sub-assemblies become a working product. GPW manages the full integration sequence: mechanical structure, component mounting, cable routing, board installation, firmware loading, and final configuration.</w:t>
      </w:r>
    </w:p>
    <w:p>
      <w:pPr>
        <w:spacing w:after="160"/>
      </w:pPr>
      <w:r>
        <w:rPr>
          <w:rFonts w:ascii="Lato" w:cs="Lato" w:eastAsia="Lato" w:hAnsi="Lato"/>
          <w:b w:val="false"/>
          <w:bCs w:val="false"/>
          <w:i w:val="false"/>
          <w:iCs w:val="false"/>
          <w:color w:val="1A1A1A"/>
          <w:sz w:val="22"/>
          <w:szCs w:val="22"/>
        </w:rPr>
        <w:t xml:space="preserve">For programs that require it, we handle kitting, serialized tracking, and lot traceability from incoming inspection through final packout. Whether the build requires 15 components or 500, the same program team manages your project from first article through sustained production.</w:t>
      </w:r>
    </w:p>
    <w:p>
      <w:pPr>
        <w:spacing w:after="160"/>
      </w:pPr>
      <w:r>
        <w:rPr>
          <w:rFonts w:ascii="Lato" w:cs="Lato" w:eastAsia="Lato" w:hAnsi="Lato"/>
          <w:b/>
          <w:bCs/>
          <w:i w:val="false"/>
          <w:iCs w:val="false"/>
          <w:color w:val="ED835E"/>
          <w:sz w:val="22"/>
          <w:szCs w:val="22"/>
        </w:rPr>
        <w:t xml:space="preserve">Explore System Integration →</w:t>
      </w:r>
    </w:p>
    <w:p>
      <w:pPr>
        <w:pBdr>
          <w:bottom w:val="single" w:color="ADCF91" w:sz="6" w:space="1"/>
        </w:pBdr>
        <w:spacing w:after="200" w:before="200"/>
      </w:pPr>
    </w:p>
    <w:p>
      <w:pPr>
        <w:pStyle w:val="Heading3"/>
        <w:spacing w:after="120" w:before="200"/>
      </w:pPr>
      <w:r>
        <w:rPr>
          <w:rFonts w:ascii="Trirong" w:cs="Trirong" w:eastAsia="Trirong" w:hAnsi="Trirong"/>
          <w:b/>
          <w:bCs/>
          <w:color w:val="2A4E64"/>
          <w:sz w:val="26"/>
          <w:szCs w:val="26"/>
        </w:rPr>
        <w:t xml:space="preserve">Testing &amp; Quality Assurance — Every Unit Tested Before It Ships</w:t>
      </w:r>
    </w:p>
    <w:p>
      <w:pPr>
        <w:spacing w:after="160"/>
      </w:pPr>
      <w:r>
        <w:rPr>
          <w:rFonts w:ascii="Lato" w:cs="Lato" w:eastAsia="Lato" w:hAnsi="Lato"/>
          <w:b w:val="false"/>
          <w:bCs w:val="false"/>
          <w:i w:val="false"/>
          <w:iCs w:val="false"/>
          <w:color w:val="1A1A1A"/>
          <w:sz w:val="22"/>
          <w:szCs w:val="22"/>
        </w:rPr>
        <w:t xml:space="preserve">Testing is built into the process, not bolted on at the end. GPW runs end-of-line functional testing, burn-in, thermal validation, and visual inspection on every unit before it ships.</w:t>
      </w:r>
    </w:p>
    <w:p>
      <w:pPr>
        <w:spacing w:after="160"/>
      </w:pPr>
      <w:r>
        <w:rPr>
          <w:rFonts w:ascii="Lato" w:cs="Lato" w:eastAsia="Lato" w:hAnsi="Lato"/>
          <w:b w:val="false"/>
          <w:bCs w:val="false"/>
          <w:i w:val="false"/>
          <w:iCs w:val="false"/>
          <w:color w:val="1A1A1A"/>
          <w:sz w:val="22"/>
          <w:szCs w:val="22"/>
        </w:rPr>
        <w:t xml:space="preserve">We design test protocols to your specifications or develop them collaboratively during the DFM review. Every test result is documented, traceable, and available for your quality team's review. When your customer asks for test data on a specific serial number, we pull it in minutes — not days.</w:t>
      </w:r>
    </w:p>
    <w:p>
      <w:pPr>
        <w:spacing w:after="160"/>
      </w:pPr>
      <w:r>
        <w:rPr>
          <w:rFonts w:ascii="Lato" w:cs="Lato" w:eastAsia="Lato" w:hAnsi="Lato"/>
          <w:b/>
          <w:bCs/>
          <w:i w:val="false"/>
          <w:iCs w:val="false"/>
          <w:color w:val="ED835E"/>
          <w:sz w:val="22"/>
          <w:szCs w:val="22"/>
        </w:rPr>
        <w:t xml:space="preserve">Explore Testing &amp; Inspection →</w:t>
      </w:r>
    </w:p>
    <w:p>
      <w:pPr>
        <w:pBdr>
          <w:bottom w:val="single" w:color="ADCF91" w:sz="6" w:space="1"/>
        </w:pBdr>
        <w:spacing w:after="200" w:before="200"/>
      </w:pPr>
    </w:p>
    <w:p>
      <w:pPr>
        <w:pStyle w:val="Heading3"/>
        <w:spacing w:after="120" w:before="200"/>
      </w:pPr>
      <w:r>
        <w:rPr>
          <w:rFonts w:ascii="Trirong" w:cs="Trirong" w:eastAsia="Trirong" w:hAnsi="Trirong"/>
          <w:b/>
          <w:bCs/>
          <w:color w:val="2A4E64"/>
          <w:sz w:val="26"/>
          <w:szCs w:val="26"/>
        </w:rPr>
        <w:t xml:space="preserve">Enclosure &amp; Cabinet Assembly — Built for Density, Wired for Performance</w:t>
      </w:r>
    </w:p>
    <w:p>
      <w:pPr>
        <w:spacing w:after="160"/>
      </w:pPr>
      <w:r>
        <w:rPr>
          <w:rFonts w:ascii="Lato" w:cs="Lato" w:eastAsia="Lato" w:hAnsi="Lato"/>
          <w:b w:val="false"/>
          <w:bCs w:val="false"/>
          <w:i w:val="false"/>
          <w:iCs w:val="false"/>
          <w:color w:val="1A1A1A"/>
          <w:sz w:val="22"/>
          <w:szCs w:val="22"/>
        </w:rPr>
        <w:t xml:space="preserve">Telecom cabinets. Energy distribution panels. Server racks. Industrial control enclosures. GPW assembles these high-density builds with the cable management, thermal considerations, and access requirements each application demands.</w:t>
      </w:r>
    </w:p>
    <w:p>
      <w:pPr>
        <w:spacing w:after="160"/>
      </w:pPr>
      <w:r>
        <w:rPr>
          <w:rFonts w:ascii="Lato" w:cs="Lato" w:eastAsia="Lato" w:hAnsi="Lato"/>
          <w:b w:val="false"/>
          <w:bCs w:val="false"/>
          <w:i w:val="false"/>
          <w:iCs w:val="false"/>
          <w:color w:val="1A1A1A"/>
          <w:sz w:val="22"/>
          <w:szCs w:val="22"/>
        </w:rPr>
        <w:t xml:space="preserve">We handle sheet metal integration, DIN rail mounting, power distribution wiring, and final labeling — delivering a complete enclosure ready for installation at your customer's site. High-density cable routing, thermal management, and serviceability are engineered into every build.</w:t>
      </w:r>
    </w:p>
    <w:p>
      <w:pPr>
        <w:spacing w:after="160"/>
      </w:pPr>
      <w:r>
        <w:rPr>
          <w:rFonts w:ascii="Lato" w:cs="Lato" w:eastAsia="Lato" w:hAnsi="Lato"/>
          <w:b/>
          <w:bCs/>
          <w:i w:val="false"/>
          <w:iCs w:val="false"/>
          <w:color w:val="ED835E"/>
          <w:sz w:val="22"/>
          <w:szCs w:val="22"/>
        </w:rPr>
        <w:t xml:space="preserve">Explore Enclosure &amp; Cabinet Assembly →</w:t>
      </w:r>
    </w:p>
    <w:p>
      <w:pPr>
        <w:pBdr>
          <w:bottom w:val="single" w:color="ADCF91" w:sz="6" w:space="1"/>
        </w:pBdr>
        <w:spacing w:after="200" w:before="200"/>
      </w:pPr>
    </w:p>
    <w:p>
      <w:pPr>
        <w:pStyle w:val="Heading2"/>
        <w:spacing w:after="120" w:before="280"/>
      </w:pPr>
      <w:r>
        <w:rPr>
          <w:rFonts w:ascii="Trirong" w:cs="Trirong" w:eastAsia="Trirong" w:hAnsi="Trirong"/>
          <w:b/>
          <w:bCs/>
          <w:color w:val="23555A"/>
          <w:sz w:val="30"/>
          <w:szCs w:val="30"/>
        </w:rPr>
        <w:t xml:space="preserve">SECTION 4: 8 Industries, One Assembly Partner</w:t>
      </w:r>
    </w:p>
    <w:p>
      <w:pPr>
        <w:spacing w:after="160"/>
      </w:pPr>
      <w:r>
        <w:rPr>
          <w:rFonts w:ascii="Lato" w:cs="Lato" w:eastAsia="Lato" w:hAnsi="Lato"/>
          <w:b w:val="false"/>
          <w:bCs w:val="false"/>
          <w:i w:val="false"/>
          <w:iCs w:val="false"/>
          <w:color w:val="1A1A1A"/>
          <w:sz w:val="22"/>
          <w:szCs w:val="22"/>
        </w:rPr>
        <w:t xml:space="preserve">GPW's assembly processes flex across industries without sacrificing the standards any single vertical demands. The same engineering discipline that ensures traceability for aerospace builds also drives the throughput efficiency needed for high-volume appliance assembly.</w:t>
      </w:r>
    </w:p>
    <w:p>
      <w:pPr>
        <w:spacing w:after="80"/>
      </w:pPr>
      <w:r>
        <w:rPr>
          <w:rFonts w:ascii="Lato" w:cs="Lato" w:eastAsia="Lato" w:hAnsi="Lato"/>
          <w:b/>
          <w:bCs/>
          <w:i w:val="false"/>
          <w:iCs w:val="false"/>
          <w:color w:val="2A4E64"/>
          <w:sz w:val="20"/>
          <w:szCs w:val="20"/>
        </w:rPr>
        <w:t xml:space="preserve">Industry Grid: </w:t>
      </w:r>
      <w:r>
        <w:rPr>
          <w:rFonts w:ascii="Lato" w:cs="Lato" w:eastAsia="Lato" w:hAnsi="Lato"/>
          <w:b w:val="false"/>
          <w:bCs w:val="false"/>
          <w:i w:val="false"/>
          <w:iCs w:val="false"/>
          <w:color w:val="666666"/>
          <w:sz w:val="20"/>
          <w:szCs w:val="20"/>
        </w:rPr>
        <w:t xml:space="preserve"/>
      </w:r>
    </w:p>
    <w:p>
      <w:pPr>
        <w:pStyle w:val="ListParagraph"/>
        <w:numPr>
          <w:ilvl w:val="0"/>
          <w:numId w:val="2"/>
        </w:numPr>
        <w:spacing w:after="80"/>
      </w:pPr>
      <w:r>
        <w:rPr>
          <w:rFonts w:ascii="Lato" w:cs="Lato" w:eastAsia="Lato" w:hAnsi="Lato"/>
          <w:b/>
          <w:bCs/>
          <w:i w:val="false"/>
          <w:iCs w:val="false"/>
          <w:color w:val="23555A"/>
          <w:sz w:val="22"/>
          <w:szCs w:val="22"/>
        </w:rPr>
        <w:t xml:space="preserve">AI &amp; Server Rack Assembly</w:t>
      </w:r>
      <w:r>
        <w:rPr>
          <w:rFonts w:ascii="Lato" w:cs="Lato" w:eastAsia="Lato" w:hAnsi="Lato"/>
          <w:b w:val="false"/>
          <w:bCs w:val="false"/>
          <w:i w:val="false"/>
          <w:iCs w:val="false"/>
          <w:color w:val="1A1A1A"/>
          <w:sz w:val="22"/>
          <w:szCs w:val="22"/>
        </w:rPr>
        <w:t xml:space="preserve"> — Rack integration with thermal management, cable routing, power distribution, and burn-in testing for enterprise and hyperscaler platforms.</w:t>
      </w:r>
    </w:p>
    <w:p>
      <w:pPr>
        <w:pStyle w:val="ListParagraph"/>
        <w:numPr>
          <w:ilvl w:val="0"/>
          <w:numId w:val="2"/>
        </w:numPr>
        <w:spacing w:after="80"/>
      </w:pPr>
      <w:r>
        <w:rPr>
          <w:rFonts w:ascii="Lato" w:cs="Lato" w:eastAsia="Lato" w:hAnsi="Lato"/>
          <w:b/>
          <w:bCs/>
          <w:i w:val="false"/>
          <w:iCs w:val="false"/>
          <w:color w:val="23555A"/>
          <w:sz w:val="22"/>
          <w:szCs w:val="22"/>
        </w:rPr>
        <w:t xml:space="preserve">Industrial Equipment</w:t>
      </w:r>
      <w:r>
        <w:rPr>
          <w:rFonts w:ascii="Lato" w:cs="Lato" w:eastAsia="Lato" w:hAnsi="Lato"/>
          <w:b w:val="false"/>
          <w:bCs w:val="false"/>
          <w:i w:val="false"/>
          <w:iCs w:val="false"/>
          <w:color w:val="1A1A1A"/>
          <w:sz w:val="22"/>
          <w:szCs w:val="22"/>
        </w:rPr>
        <w:t xml:space="preserve"> — Controls, sub-assemblies, and light machinery builds. Panel wiring, motor integration, sensor calibration, and functional testing for equipment deployed in demanding industrial environments.</w:t>
      </w:r>
    </w:p>
    <w:p>
      <w:pPr>
        <w:pStyle w:val="ListParagraph"/>
        <w:numPr>
          <w:ilvl w:val="0"/>
          <w:numId w:val="2"/>
        </w:numPr>
        <w:spacing w:after="80"/>
      </w:pPr>
      <w:r>
        <w:rPr>
          <w:rFonts w:ascii="Lato" w:cs="Lato" w:eastAsia="Lato" w:hAnsi="Lato"/>
          <w:b/>
          <w:bCs/>
          <w:i w:val="false"/>
          <w:iCs w:val="false"/>
          <w:color w:val="23555A"/>
          <w:sz w:val="22"/>
          <w:szCs w:val="22"/>
        </w:rPr>
        <w:t xml:space="preserve">Telecommunications</w:t>
      </w:r>
      <w:r>
        <w:rPr>
          <w:rFonts w:ascii="Lato" w:cs="Lato" w:eastAsia="Lato" w:hAnsi="Lato"/>
          <w:b w:val="false"/>
          <w:bCs w:val="false"/>
          <w:i w:val="false"/>
          <w:iCs w:val="false"/>
          <w:color w:val="1A1A1A"/>
          <w:sz w:val="22"/>
          <w:szCs w:val="22"/>
        </w:rPr>
        <w:t xml:space="preserve"> — Cabinets, modules, and system-level hardware integration. Fiber routing, copper termination, and configuration testing for telecom infrastructure deployed nationwide.</w:t>
      </w:r>
    </w:p>
    <w:p>
      <w:pPr>
        <w:pStyle w:val="ListParagraph"/>
        <w:numPr>
          <w:ilvl w:val="0"/>
          <w:numId w:val="2"/>
        </w:numPr>
        <w:spacing w:after="80"/>
      </w:pPr>
      <w:r>
        <w:rPr>
          <w:rFonts w:ascii="Lato" w:cs="Lato" w:eastAsia="Lato" w:hAnsi="Lato"/>
          <w:b/>
          <w:bCs/>
          <w:i w:val="false"/>
          <w:iCs w:val="false"/>
          <w:color w:val="23555A"/>
          <w:sz w:val="22"/>
          <w:szCs w:val="22"/>
        </w:rPr>
        <w:t xml:space="preserve">Medical Devices &amp; Equipment</w:t>
      </w:r>
      <w:r>
        <w:rPr>
          <w:rFonts w:ascii="Lato" w:cs="Lato" w:eastAsia="Lato" w:hAnsi="Lato"/>
          <w:b w:val="false"/>
          <w:bCs w:val="false"/>
          <w:i w:val="false"/>
          <w:iCs w:val="false"/>
          <w:color w:val="1A1A1A"/>
          <w:sz w:val="22"/>
          <w:szCs w:val="22"/>
        </w:rPr>
        <w:t xml:space="preserve"> — Controlled assembly under strict specifications with serialized lot traceability and documented assembly records for every unit. Pursuing ISO 13485 certification.</w:t>
      </w:r>
    </w:p>
    <w:p>
      <w:pPr>
        <w:pStyle w:val="ListParagraph"/>
        <w:numPr>
          <w:ilvl w:val="0"/>
          <w:numId w:val="2"/>
        </w:numPr>
        <w:spacing w:after="80"/>
      </w:pPr>
      <w:r>
        <w:rPr>
          <w:rFonts w:ascii="Lato" w:cs="Lato" w:eastAsia="Lato" w:hAnsi="Lato"/>
          <w:b/>
          <w:bCs/>
          <w:i w:val="false"/>
          <w:iCs w:val="false"/>
          <w:color w:val="23555A"/>
          <w:sz w:val="22"/>
          <w:szCs w:val="22"/>
        </w:rPr>
        <w:t xml:space="preserve">Automotive</w:t>
      </w:r>
      <w:r>
        <w:rPr>
          <w:rFonts w:ascii="Lato" w:cs="Lato" w:eastAsia="Lato" w:hAnsi="Lato"/>
          <w:b w:val="false"/>
          <w:bCs w:val="false"/>
          <w:i w:val="false"/>
          <w:iCs w:val="false"/>
          <w:color w:val="1A1A1A"/>
          <w:sz w:val="22"/>
          <w:szCs w:val="22"/>
        </w:rPr>
        <w:t xml:space="preserve"> — Sub-assemblies, fixtures, and integration work for Tier 2 suppliers. Harness builds, sensor integration, and functional testing for components that feed automotive production lines.</w:t>
      </w:r>
    </w:p>
    <w:p>
      <w:pPr>
        <w:pStyle w:val="ListParagraph"/>
        <w:numPr>
          <w:ilvl w:val="0"/>
          <w:numId w:val="2"/>
        </w:numPr>
        <w:spacing w:after="80"/>
      </w:pPr>
      <w:r>
        <w:rPr>
          <w:rFonts w:ascii="Lato" w:cs="Lato" w:eastAsia="Lato" w:hAnsi="Lato"/>
          <w:b/>
          <w:bCs/>
          <w:i w:val="false"/>
          <w:iCs w:val="false"/>
          <w:color w:val="23555A"/>
          <w:sz w:val="22"/>
          <w:szCs w:val="22"/>
        </w:rPr>
        <w:t xml:space="preserve">Energy</w:t>
      </w:r>
      <w:r>
        <w:rPr>
          <w:rFonts w:ascii="Lato" w:cs="Lato" w:eastAsia="Lato" w:hAnsi="Lato"/>
          <w:b w:val="false"/>
          <w:bCs w:val="false"/>
          <w:i w:val="false"/>
          <w:iCs w:val="false"/>
          <w:color w:val="1A1A1A"/>
          <w:sz w:val="22"/>
          <w:szCs w:val="22"/>
        </w:rPr>
        <w:t xml:space="preserve"> — Equipment cabinets, panel integration, and system assembly for power generation, distribution, and renewable energy infrastructure. High-voltage wiring and safety-critical testing protocols.</w:t>
      </w:r>
    </w:p>
    <w:p>
      <w:pPr>
        <w:pStyle w:val="ListParagraph"/>
        <w:numPr>
          <w:ilvl w:val="0"/>
          <w:numId w:val="2"/>
        </w:numPr>
        <w:spacing w:after="80"/>
      </w:pPr>
      <w:r>
        <w:rPr>
          <w:rFonts w:ascii="Lato" w:cs="Lato" w:eastAsia="Lato" w:hAnsi="Lato"/>
          <w:b/>
          <w:bCs/>
          <w:i w:val="false"/>
          <w:iCs w:val="false"/>
          <w:color w:val="23555A"/>
          <w:sz w:val="22"/>
          <w:szCs w:val="22"/>
        </w:rPr>
        <w:t xml:space="preserve">Aerospace</w:t>
      </w:r>
      <w:r>
        <w:rPr>
          <w:rFonts w:ascii="Lato" w:cs="Lato" w:eastAsia="Lato" w:hAnsi="Lato"/>
          <w:b w:val="false"/>
          <w:bCs w:val="false"/>
          <w:i w:val="false"/>
          <w:iCs w:val="false"/>
          <w:color w:val="1A1A1A"/>
          <w:sz w:val="22"/>
          <w:szCs w:val="22"/>
        </w:rPr>
        <w:t xml:space="preserve"> — Sub-assemblies with full traceability from incoming inspection to final test. Documented material chain of custody for every component. AS9100 certification pathway underway.</w:t>
      </w:r>
    </w:p>
    <w:p>
      <w:pPr>
        <w:pStyle w:val="ListParagraph"/>
        <w:numPr>
          <w:ilvl w:val="0"/>
          <w:numId w:val="2"/>
        </w:numPr>
        <w:spacing w:after="80"/>
      </w:pPr>
      <w:r>
        <w:rPr>
          <w:rFonts w:ascii="Lato" w:cs="Lato" w:eastAsia="Lato" w:hAnsi="Lato"/>
          <w:b/>
          <w:bCs/>
          <w:i w:val="false"/>
          <w:iCs w:val="false"/>
          <w:color w:val="23555A"/>
          <w:sz w:val="22"/>
          <w:szCs w:val="22"/>
        </w:rPr>
        <w:t xml:space="preserve">Appliances &amp; White Goods</w:t>
      </w:r>
      <w:r>
        <w:rPr>
          <w:rFonts w:ascii="Lato" w:cs="Lato" w:eastAsia="Lato" w:hAnsi="Lato"/>
          <w:b w:val="false"/>
          <w:bCs w:val="false"/>
          <w:i w:val="false"/>
          <w:iCs w:val="false"/>
          <w:color w:val="1A1A1A"/>
          <w:sz w:val="22"/>
          <w:szCs w:val="22"/>
        </w:rPr>
        <w:t xml:space="preserve"> — Assembly and integration for consumer and commercial products at production volumes. Line balancing, cost-per-unit optimization, and rapid changeover between product variants.</w:t>
      </w:r>
    </w:p>
    <w:p>
      <w:pPr>
        <w:spacing w:after="160"/>
      </w:pPr>
      <w:r>
        <w:rPr>
          <w:rFonts w:ascii="Lato" w:cs="Lato" w:eastAsia="Lato" w:hAnsi="Lato"/>
          <w:b/>
          <w:bCs/>
          <w:i w:val="false"/>
          <w:iCs w:val="false"/>
          <w:color w:val="ED835E"/>
          <w:sz w:val="22"/>
          <w:szCs w:val="22"/>
        </w:rPr>
        <w:t xml:space="preserve">Explore Industry Capabilities →</w:t>
      </w:r>
    </w:p>
    <w:p>
      <w:pPr>
        <w:spacing w:after="80"/>
      </w:pPr>
      <w:r>
        <w:rPr>
          <w:rFonts w:ascii="Lato" w:cs="Lato" w:eastAsia="Lato" w:hAnsi="Lato"/>
          <w:b/>
          <w:bCs/>
          <w:i w:val="false"/>
          <w:iCs w:val="false"/>
          <w:color w:val="2A4E64"/>
          <w:sz w:val="20"/>
          <w:szCs w:val="20"/>
        </w:rPr>
        <w:t xml:space="preserve">CTA (Teal Button): </w:t>
      </w:r>
      <w:r>
        <w:rPr>
          <w:rFonts w:ascii="Lato" w:cs="Lato" w:eastAsia="Lato" w:hAnsi="Lato"/>
          <w:b w:val="false"/>
          <w:bCs w:val="false"/>
          <w:i w:val="false"/>
          <w:iCs w:val="false"/>
          <w:color w:val="666666"/>
          <w:sz w:val="20"/>
          <w:szCs w:val="20"/>
        </w:rPr>
        <w:t xml:space="preserve">Request a Quote for Your Industry</w:t>
      </w:r>
    </w:p>
    <w:p>
      <w:pPr>
        <w:pBdr>
          <w:bottom w:val="single" w:color="ADCF91" w:sz="6" w:space="1"/>
        </w:pBdr>
        <w:spacing w:after="200" w:before="200"/>
      </w:pPr>
    </w:p>
    <w:p>
      <w:pPr>
        <w:pStyle w:val="Heading2"/>
        <w:spacing w:after="120" w:before="280"/>
      </w:pPr>
      <w:r>
        <w:rPr>
          <w:rFonts w:ascii="Trirong" w:cs="Trirong" w:eastAsia="Trirong" w:hAnsi="Trirong"/>
          <w:b/>
          <w:bCs/>
          <w:color w:val="23555A"/>
          <w:sz w:val="30"/>
          <w:szCs w:val="30"/>
        </w:rPr>
        <w:t xml:space="preserve">SECTION 5: The Nearshore Advantage — Why Monterrey for Electromechanical Assembly</w:t>
      </w:r>
    </w:p>
    <w:p>
      <w:pPr>
        <w:spacing w:after="160"/>
      </w:pPr>
      <w:r>
        <w:rPr>
          <w:rFonts w:ascii="Lato" w:cs="Lato" w:eastAsia="Lato" w:hAnsi="Lato"/>
          <w:b w:val="false"/>
          <w:bCs w:val="false"/>
          <w:i w:val="false"/>
          <w:iCs w:val="false"/>
          <w:color w:val="1A1A1A"/>
          <w:sz w:val="22"/>
          <w:szCs w:val="22"/>
        </w:rPr>
        <w:t xml:space="preserve">Electromechanical assembly is hands-on, complex, and communication-intensive. It is the wrong type of work to manage across 12 timezones and an ocean.</w:t>
      </w:r>
    </w:p>
    <w:p>
      <w:pPr>
        <w:spacing w:after="160"/>
      </w:pPr>
      <w:r>
        <w:rPr>
          <w:rFonts w:ascii="Lato" w:cs="Lato" w:eastAsia="Lato" w:hAnsi="Lato"/>
          <w:b w:val="false"/>
          <w:bCs w:val="false"/>
          <w:i w:val="false"/>
          <w:iCs w:val="false"/>
          <w:color w:val="1A1A1A"/>
          <w:sz w:val="22"/>
          <w:szCs w:val="22"/>
        </w:rPr>
        <w:t xml:space="preserve">GPW operates from Monterrey, Mexico — 150 miles from the U.S. border, in the same timezone as your engineering and procurement teams. When a BOM change happens at 2 PM, we implement it the same afternoon. When you need to review first article builds in person, it is a 2-hour flight from Austin, Dallas, or Phoenix.</w:t>
      </w:r>
    </w:p>
    <w:p>
      <w:pPr>
        <w:spacing w:after="80"/>
      </w:pPr>
      <w:r>
        <w:rPr>
          <w:rFonts w:ascii="Lato" w:cs="Lato" w:eastAsia="Lato" w:hAnsi="Lato"/>
          <w:b/>
          <w:bCs/>
          <w:i w:val="false"/>
          <w:iCs w:val="false"/>
          <w:color w:val="2A4E64"/>
          <w:sz w:val="20"/>
          <w:szCs w:val="20"/>
        </w:rPr>
        <w:t xml:space="preserve">The Numbers Behind Nearshoring EMS: </w:t>
      </w:r>
      <w:r>
        <w:rPr>
          <w:rFonts w:ascii="Lato" w:cs="Lato" w:eastAsia="Lato" w:hAnsi="Lato"/>
          <w:b w:val="false"/>
          <w:bCs w:val="false"/>
          <w:i w:val="false"/>
          <w:iCs w:val="false"/>
          <w:color w:val="666666"/>
          <w:sz w:val="20"/>
          <w:szCs w:val="20"/>
        </w:rPr>
        <w:t xml:space="preserve"/>
      </w:r>
    </w:p>
    <w:p>
      <w:pPr>
        <w:pStyle w:val="ListParagraph"/>
        <w:numPr>
          <w:ilvl w:val="0"/>
          <w:numId w:val="2"/>
        </w:numPr>
        <w:spacing w:after="80"/>
      </w:pPr>
      <w:r>
        <w:rPr>
          <w:rFonts w:ascii="Lato" w:cs="Lato" w:eastAsia="Lato" w:hAnsi="Lato"/>
          <w:b w:val="false"/>
          <w:bCs w:val="false"/>
          <w:i w:val="false"/>
          <w:iCs w:val="false"/>
          <w:color w:val="1A1A1A"/>
          <w:sz w:val="22"/>
          <w:szCs w:val="22"/>
        </w:rPr>
        <w:t xml:space="preserve">Same-day ground shipping to Texas — 2 hours from the U.S. border by road</w:t>
      </w:r>
    </w:p>
    <w:p>
      <w:pPr>
        <w:pStyle w:val="ListParagraph"/>
        <w:numPr>
          <w:ilvl w:val="0"/>
          <w:numId w:val="2"/>
        </w:numPr>
        <w:spacing w:after="80"/>
      </w:pPr>
      <w:r>
        <w:rPr>
          <w:rFonts w:ascii="Lato" w:cs="Lato" w:eastAsia="Lato" w:hAnsi="Lato"/>
          <w:b/>
          <w:bCs/>
          <w:i w:val="false"/>
          <w:iCs w:val="false"/>
          <w:color w:val="23555A"/>
          <w:sz w:val="22"/>
          <w:szCs w:val="22"/>
        </w:rPr>
        <w:t xml:space="preserve">Real-time collaboration</w:t>
      </w:r>
      <w:r>
        <w:rPr>
          <w:rFonts w:ascii="Lato" w:cs="Lato" w:eastAsia="Lato" w:hAnsi="Lato"/>
          <w:b w:val="false"/>
          <w:bCs w:val="false"/>
          <w:i w:val="false"/>
          <w:iCs w:val="false"/>
          <w:color w:val="1A1A1A"/>
          <w:sz w:val="22"/>
          <w:szCs w:val="22"/>
        </w:rPr>
        <w:t xml:space="preserve"> — same timezone (CST), no overnight email delays</w:t>
      </w:r>
    </w:p>
    <w:p>
      <w:pPr>
        <w:pStyle w:val="ListParagraph"/>
        <w:numPr>
          <w:ilvl w:val="0"/>
          <w:numId w:val="2"/>
        </w:numPr>
        <w:spacing w:after="80"/>
      </w:pPr>
      <w:r>
        <w:rPr>
          <w:rFonts w:ascii="Lato" w:cs="Lato" w:eastAsia="Lato" w:hAnsi="Lato"/>
          <w:b/>
          <w:bCs/>
          <w:i w:val="false"/>
          <w:iCs w:val="false"/>
          <w:color w:val="23555A"/>
          <w:sz w:val="22"/>
          <w:szCs w:val="22"/>
        </w:rPr>
        <w:t xml:space="preserve">USMCA tariff advantages</w:t>
      </w:r>
      <w:r>
        <w:rPr>
          <w:rFonts w:ascii="Lato" w:cs="Lato" w:eastAsia="Lato" w:hAnsi="Lato"/>
          <w:b w:val="false"/>
          <w:bCs w:val="false"/>
          <w:i w:val="false"/>
          <w:iCs w:val="false"/>
          <w:color w:val="1A1A1A"/>
          <w:sz w:val="22"/>
          <w:szCs w:val="22"/>
        </w:rPr>
        <w:t xml:space="preserve"> — favorable duty treatment vs. China-origin assemblies</w:t>
      </w:r>
    </w:p>
    <w:p>
      <w:pPr>
        <w:pStyle w:val="ListParagraph"/>
        <w:numPr>
          <w:ilvl w:val="0"/>
          <w:numId w:val="2"/>
        </w:numPr>
        <w:spacing w:after="80"/>
      </w:pPr>
      <w:r>
        <w:rPr>
          <w:rFonts w:ascii="Lato" w:cs="Lato" w:eastAsia="Lato" w:hAnsi="Lato"/>
          <w:b w:val="false"/>
          <w:bCs w:val="false"/>
          <w:i w:val="false"/>
          <w:iCs w:val="false"/>
          <w:color w:val="1A1A1A"/>
          <w:sz w:val="22"/>
          <w:szCs w:val="22"/>
        </w:rPr>
        <w:t xml:space="preserve">40–60% labor cost savings vs. domestic U.S. assembly operations</w:t>
      </w:r>
    </w:p>
    <w:p>
      <w:pPr>
        <w:pStyle w:val="ListParagraph"/>
        <w:numPr>
          <w:ilvl w:val="0"/>
          <w:numId w:val="2"/>
        </w:numPr>
        <w:spacing w:after="80"/>
      </w:pPr>
      <w:r>
        <w:rPr>
          <w:rFonts w:ascii="Lato" w:cs="Lato" w:eastAsia="Lato" w:hAnsi="Lato"/>
          <w:b/>
          <w:bCs/>
          <w:i w:val="false"/>
          <w:iCs w:val="false"/>
          <w:color w:val="23555A"/>
          <w:sz w:val="22"/>
          <w:szCs w:val="22"/>
        </w:rPr>
        <w:t xml:space="preserve">Mature manufacturing workforce</w:t>
      </w:r>
      <w:r>
        <w:rPr>
          <w:rFonts w:ascii="Lato" w:cs="Lato" w:eastAsia="Lato" w:hAnsi="Lato"/>
          <w:b w:val="false"/>
          <w:bCs w:val="false"/>
          <w:i w:val="false"/>
          <w:iCs w:val="false"/>
          <w:color w:val="1A1A1A"/>
          <w:sz w:val="22"/>
          <w:szCs w:val="22"/>
        </w:rPr>
        <w:t xml:space="preserve"> — Monterrey produces more engineers per capita than any city in Latin America</w:t>
      </w:r>
    </w:p>
    <w:p>
      <w:pPr>
        <w:spacing w:after="160"/>
      </w:pPr>
      <w:r>
        <w:rPr>
          <w:rFonts w:ascii="Lato" w:cs="Lato" w:eastAsia="Lato" w:hAnsi="Lato"/>
          <w:b w:val="false"/>
          <w:bCs w:val="false"/>
          <w:i w:val="false"/>
          <w:iCs w:val="false"/>
          <w:color w:val="1A1A1A"/>
          <w:sz w:val="22"/>
          <w:szCs w:val="22"/>
        </w:rPr>
        <w:t xml:space="preserve">This is not offshore outsourcing. This is nearshore partnership — close enough to visit, aligned enough to collaborate, and cost-effective enough to scale.</w:t>
      </w:r>
    </w:p>
    <w:p>
      <w:pPr>
        <w:pBdr>
          <w:bottom w:val="single" w:color="ADCF91" w:sz="6" w:space="1"/>
        </w:pBdr>
        <w:spacing w:after="200" w:before="200"/>
      </w:pPr>
    </w:p>
    <w:p>
      <w:pPr>
        <w:pStyle w:val="Heading2"/>
        <w:spacing w:after="120" w:before="280"/>
      </w:pPr>
      <w:r>
        <w:rPr>
          <w:rFonts w:ascii="Trirong" w:cs="Trirong" w:eastAsia="Trirong" w:hAnsi="Trirong"/>
          <w:b/>
          <w:bCs/>
          <w:color w:val="23555A"/>
          <w:sz w:val="30"/>
          <w:szCs w:val="30"/>
        </w:rPr>
        <w:t xml:space="preserve">SECTION 6: Engineering-Driven Quality at Every Station</w:t>
      </w:r>
    </w:p>
    <w:p>
      <w:pPr>
        <w:spacing w:after="160"/>
      </w:pPr>
      <w:r>
        <w:rPr>
          <w:rFonts w:ascii="Lato" w:cs="Lato" w:eastAsia="Lato" w:hAnsi="Lato"/>
          <w:b w:val="false"/>
          <w:bCs w:val="false"/>
          <w:i w:val="false"/>
          <w:iCs w:val="false"/>
          <w:color w:val="1A1A1A"/>
          <w:sz w:val="22"/>
          <w:szCs w:val="22"/>
        </w:rPr>
        <w:t xml:space="preserve">Quality at GPW is not a department that inspects finished goods. It is the process that governs how every assembly is built.</w:t>
      </w:r>
    </w:p>
    <w:p>
      <w:pPr>
        <w:spacing w:after="80"/>
      </w:pPr>
      <w:r>
        <w:rPr>
          <w:rFonts w:ascii="Lato" w:cs="Lato" w:eastAsia="Lato" w:hAnsi="Lato"/>
          <w:b/>
          <w:bCs/>
          <w:i w:val="false"/>
          <w:iCs w:val="false"/>
          <w:color w:val="2A4E64"/>
          <w:sz w:val="20"/>
          <w:szCs w:val="20"/>
        </w:rPr>
        <w:t xml:space="preserve">Our Quality Approach: </w:t>
      </w:r>
      <w:r>
        <w:rPr>
          <w:rFonts w:ascii="Lato" w:cs="Lato" w:eastAsia="Lato" w:hAnsi="Lato"/>
          <w:b w:val="false"/>
          <w:bCs w:val="false"/>
          <w:i w:val="false"/>
          <w:iCs w:val="false"/>
          <w:color w:val="666666"/>
          <w:sz w:val="20"/>
          <w:szCs w:val="20"/>
        </w:rPr>
        <w:t xml:space="preserve"/>
      </w:r>
    </w:p>
    <w:p>
      <w:pPr>
        <w:pStyle w:val="ListParagraph"/>
        <w:numPr>
          <w:ilvl w:val="0"/>
          <w:numId w:val="2"/>
        </w:numPr>
        <w:spacing w:after="80"/>
      </w:pPr>
      <w:r>
        <w:rPr>
          <w:rFonts w:ascii="Lato" w:cs="Lato" w:eastAsia="Lato" w:hAnsi="Lato"/>
          <w:b/>
          <w:bCs/>
          <w:i w:val="false"/>
          <w:iCs w:val="false"/>
          <w:color w:val="23555A"/>
          <w:sz w:val="22"/>
          <w:szCs w:val="22"/>
        </w:rPr>
        <w:t xml:space="preserve">DFM Review on Every Project</w:t>
      </w:r>
      <w:r>
        <w:rPr>
          <w:rFonts w:ascii="Lato" w:cs="Lato" w:eastAsia="Lato" w:hAnsi="Lato"/>
          <w:b w:val="false"/>
          <w:bCs w:val="false"/>
          <w:i w:val="false"/>
          <w:iCs w:val="false"/>
          <w:color w:val="1A1A1A"/>
          <w:sz w:val="22"/>
          <w:szCs w:val="22"/>
        </w:rPr>
        <w:t xml:space="preserve"> — Before assembly begins, our engineering team reviews your design for manufacturability. We identify potential issues, suggest improvements, and align on workmanship standards.</w:t>
      </w:r>
    </w:p>
    <w:p>
      <w:pPr>
        <w:pStyle w:val="ListParagraph"/>
        <w:numPr>
          <w:ilvl w:val="0"/>
          <w:numId w:val="2"/>
        </w:numPr>
        <w:spacing w:after="80"/>
      </w:pPr>
      <w:r>
        <w:rPr>
          <w:rFonts w:ascii="Lato" w:cs="Lato" w:eastAsia="Lato" w:hAnsi="Lato"/>
          <w:b/>
          <w:bCs/>
          <w:i w:val="false"/>
          <w:iCs w:val="false"/>
          <w:color w:val="23555A"/>
          <w:sz w:val="22"/>
          <w:szCs w:val="22"/>
        </w:rPr>
        <w:t xml:space="preserve">IPC-Standard Workmanship</w:t>
      </w:r>
      <w:r>
        <w:rPr>
          <w:rFonts w:ascii="Lato" w:cs="Lato" w:eastAsia="Lato" w:hAnsi="Lato"/>
          <w:b w:val="false"/>
          <w:bCs w:val="false"/>
          <w:i w:val="false"/>
          <w:iCs w:val="false"/>
          <w:color w:val="1A1A1A"/>
          <w:sz w:val="22"/>
          <w:szCs w:val="22"/>
        </w:rPr>
        <w:t xml:space="preserve"> — Our assembly processes follow IPC-A-610 (electronic assemblies) and IPC-A-620 (cable and harness assemblies) criteria. Certification is in progress.</w:t>
      </w:r>
    </w:p>
    <w:p>
      <w:pPr>
        <w:pStyle w:val="ListParagraph"/>
        <w:numPr>
          <w:ilvl w:val="0"/>
          <w:numId w:val="2"/>
        </w:numPr>
        <w:spacing w:after="80"/>
      </w:pPr>
      <w:r>
        <w:rPr>
          <w:rFonts w:ascii="Lato" w:cs="Lato" w:eastAsia="Lato" w:hAnsi="Lato"/>
          <w:b/>
          <w:bCs/>
          <w:i w:val="false"/>
          <w:iCs w:val="false"/>
          <w:color w:val="23555A"/>
          <w:sz w:val="22"/>
          <w:szCs w:val="22"/>
        </w:rPr>
        <w:t xml:space="preserve">End-of-Line Functional Testing</w:t>
      </w:r>
      <w:r>
        <w:rPr>
          <w:rFonts w:ascii="Lato" w:cs="Lato" w:eastAsia="Lato" w:hAnsi="Lato"/>
          <w:b w:val="false"/>
          <w:bCs w:val="false"/>
          <w:i w:val="false"/>
          <w:iCs w:val="false"/>
          <w:color w:val="1A1A1A"/>
          <w:sz w:val="22"/>
          <w:szCs w:val="22"/>
        </w:rPr>
        <w:t xml:space="preserve"> — We test every unit against your specifications before it ships. We design test fixtures, develop test protocols, and document results with full traceability.</w:t>
      </w:r>
    </w:p>
    <w:p>
      <w:pPr>
        <w:pStyle w:val="ListParagraph"/>
        <w:numPr>
          <w:ilvl w:val="0"/>
          <w:numId w:val="2"/>
        </w:numPr>
        <w:spacing w:after="80"/>
      </w:pPr>
      <w:r>
        <w:rPr>
          <w:rFonts w:ascii="Lato" w:cs="Lato" w:eastAsia="Lato" w:hAnsi="Lato"/>
          <w:b/>
          <w:bCs/>
          <w:i w:val="false"/>
          <w:iCs w:val="false"/>
          <w:color w:val="23555A"/>
          <w:sz w:val="22"/>
          <w:szCs w:val="22"/>
        </w:rPr>
        <w:t xml:space="preserve">Incoming Inspection</w:t>
      </w:r>
      <w:r>
        <w:rPr>
          <w:rFonts w:ascii="Lato" w:cs="Lato" w:eastAsia="Lato" w:hAnsi="Lato"/>
          <w:b w:val="false"/>
          <w:bCs w:val="false"/>
          <w:i w:val="false"/>
          <w:iCs w:val="false"/>
          <w:color w:val="1A1A1A"/>
          <w:sz w:val="22"/>
          <w:szCs w:val="22"/>
        </w:rPr>
        <w:t xml:space="preserve"> — Our team inspects and verifies every component before it reaches the assembly floor. No surprises downstream.</w:t>
      </w:r>
    </w:p>
    <w:p>
      <w:pPr>
        <w:pStyle w:val="ListParagraph"/>
        <w:numPr>
          <w:ilvl w:val="0"/>
          <w:numId w:val="2"/>
        </w:numPr>
        <w:spacing w:after="80"/>
      </w:pPr>
      <w:r>
        <w:rPr>
          <w:rFonts w:ascii="Lato" w:cs="Lato" w:eastAsia="Lato" w:hAnsi="Lato"/>
          <w:b/>
          <w:bCs/>
          <w:i w:val="false"/>
          <w:iCs w:val="false"/>
          <w:color w:val="23555A"/>
          <w:sz w:val="22"/>
          <w:szCs w:val="22"/>
        </w:rPr>
        <w:t xml:space="preserve">Continuous Improvement</w:t>
      </w:r>
      <w:r>
        <w:rPr>
          <w:rFonts w:ascii="Lato" w:cs="Lato" w:eastAsia="Lato" w:hAnsi="Lato"/>
          <w:b w:val="false"/>
          <w:bCs w:val="false"/>
          <w:i w:val="false"/>
          <w:iCs w:val="false"/>
          <w:color w:val="1A1A1A"/>
          <w:sz w:val="22"/>
          <w:szCs w:val="22"/>
        </w:rPr>
        <w:t xml:space="preserve"> — Every quality escape is root-caused, documented, and fed back into the process. We track first-pass yield, defect rates, and cycle time across all programs.</w:t>
      </w:r>
    </w:p>
    <w:p>
      <w:pPr>
        <w:spacing w:after="80"/>
      </w:pPr>
      <w:r>
        <w:rPr>
          <w:rFonts w:ascii="Lato" w:cs="Lato" w:eastAsia="Lato" w:hAnsi="Lato"/>
          <w:b/>
          <w:bCs/>
          <w:i w:val="false"/>
          <w:iCs w:val="false"/>
          <w:color w:val="2A4E64"/>
          <w:sz w:val="20"/>
          <w:szCs w:val="20"/>
        </w:rPr>
        <w:t xml:space="preserve">Certifications In Progress: </w:t>
      </w:r>
      <w:r>
        <w:rPr>
          <w:rFonts w:ascii="Lato" w:cs="Lato" w:eastAsia="Lato" w:hAnsi="Lato"/>
          <w:b w:val="false"/>
          <w:bCs w:val="false"/>
          <w:i w:val="false"/>
          <w:iCs w:val="false"/>
          <w:color w:val="666666"/>
          <w:sz w:val="20"/>
          <w:szCs w:val="20"/>
        </w:rPr>
        <w:t xml:space="preserve">IPC-A-610 · IPC-A-620 · ISO 9001 · ISO 13485 (medical) · AS9100 (aerospace)</w:t>
      </w:r>
    </w:p>
    <w:p>
      <w:pPr>
        <w:spacing w:after="160"/>
      </w:pPr>
      <w:r>
        <w:rPr>
          <w:rFonts w:ascii="Lato" w:cs="Lato" w:eastAsia="Lato" w:hAnsi="Lato"/>
          <w:b/>
          <w:bCs/>
          <w:i w:val="false"/>
          <w:iCs w:val="false"/>
          <w:color w:val="ED835E"/>
          <w:sz w:val="22"/>
          <w:szCs w:val="22"/>
        </w:rPr>
        <w:t xml:space="preserve">Learn More About Our Testing &amp; Quality Process →</w:t>
      </w:r>
    </w:p>
    <w:p>
      <w:pPr>
        <w:pBdr>
          <w:bottom w:val="single" w:color="ADCF91" w:sz="6" w:space="1"/>
        </w:pBdr>
        <w:spacing w:after="200" w:before="200"/>
      </w:pPr>
    </w:p>
    <w:p>
      <w:pPr>
        <w:pStyle w:val="Heading2"/>
        <w:spacing w:after="120" w:before="280"/>
      </w:pPr>
      <w:r>
        <w:rPr>
          <w:rFonts w:ascii="Trirong" w:cs="Trirong" w:eastAsia="Trirong" w:hAnsi="Trirong"/>
          <w:b/>
          <w:bCs/>
          <w:color w:val="23555A"/>
          <w:sz w:val="30"/>
          <w:szCs w:val="30"/>
        </w:rPr>
        <w:t xml:space="preserve">SECTION 7: Frequently Asked Questions</w:t>
      </w:r>
    </w:p>
    <w:p>
      <w:pPr>
        <w:spacing w:after="160"/>
      </w:pPr>
      <w:r>
        <w:rPr>
          <w:rFonts w:ascii="Lato" w:cs="Lato" w:eastAsia="Lato" w:hAnsi="Lato"/>
          <w:b/>
          <w:bCs/>
          <w:i w:val="false"/>
          <w:iCs w:val="false"/>
          <w:color w:val="1A1A1A"/>
          <w:sz w:val="22"/>
          <w:szCs w:val="22"/>
        </w:rPr>
        <w:t xml:space="preserve">What types of products does GPW assemble?</w:t>
      </w:r>
    </w:p>
    <w:p>
      <w:pPr>
        <w:spacing w:after="160"/>
      </w:pPr>
      <w:r>
        <w:rPr>
          <w:rFonts w:ascii="Lato" w:cs="Lato" w:eastAsia="Lato" w:hAnsi="Lato"/>
          <w:b w:val="false"/>
          <w:bCs w:val="false"/>
          <w:i w:val="false"/>
          <w:iCs w:val="false"/>
          <w:color w:val="1A1A1A"/>
          <w:sz w:val="22"/>
          <w:szCs w:val="22"/>
        </w:rPr>
        <w:t xml:space="preserve">GPW assembles electromechanical products across 8 industries — from AI server racks and telecom cabinets to medical devices and industrial control panels. If your product combines mechanical, electrical, and cabling components into a finished unit, it fits our core capability.</w:t>
      </w:r>
    </w:p>
    <w:p>
      <w:pPr>
        <w:spacing w:after="160"/>
      </w:pPr>
      <w:r>
        <w:rPr>
          <w:rFonts w:ascii="Lato" w:cs="Lato" w:eastAsia="Lato" w:hAnsi="Lato"/>
          <w:b/>
          <w:bCs/>
          <w:i w:val="false"/>
          <w:iCs w:val="false"/>
          <w:color w:val="1A1A1A"/>
          <w:sz w:val="22"/>
          <w:szCs w:val="22"/>
        </w:rPr>
        <w:t xml:space="preserve">What is the difference between electromechanical assembly and PCBA?</w:t>
      </w:r>
    </w:p>
    <w:p>
      <w:pPr>
        <w:spacing w:after="160"/>
      </w:pPr>
      <w:r>
        <w:rPr>
          <w:rFonts w:ascii="Lato" w:cs="Lato" w:eastAsia="Lato" w:hAnsi="Lato"/>
          <w:b w:val="false"/>
          <w:bCs w:val="false"/>
          <w:i w:val="false"/>
          <w:iCs w:val="false"/>
          <w:color w:val="1A1A1A"/>
          <w:sz w:val="22"/>
          <w:szCs w:val="22"/>
        </w:rPr>
        <w:t xml:space="preserve">PCBA (printed circuit board assembly) focuses on populating and soldering components onto a circuit board. Electromechanical assembly operates at the system level — integrating chassis, boards, cables, connectors, and sub-assemblies into a complete, tested product.</w:t>
      </w:r>
    </w:p>
    <w:p>
      <w:pPr>
        <w:spacing w:after="160"/>
      </w:pPr>
      <w:r>
        <w:rPr>
          <w:rFonts w:ascii="Lato" w:cs="Lato" w:eastAsia="Lato" w:hAnsi="Lato"/>
          <w:b/>
          <w:bCs/>
          <w:i w:val="false"/>
          <w:iCs w:val="false"/>
          <w:color w:val="1A1A1A"/>
          <w:sz w:val="22"/>
          <w:szCs w:val="22"/>
        </w:rPr>
        <w:t xml:space="preserve">How long does a typical project take from RFQ to first article?</w:t>
      </w:r>
    </w:p>
    <w:p>
      <w:pPr>
        <w:spacing w:after="160"/>
      </w:pPr>
      <w:r>
        <w:rPr>
          <w:rFonts w:ascii="Lato" w:cs="Lato" w:eastAsia="Lato" w:hAnsi="Lato"/>
          <w:b w:val="false"/>
          <w:bCs w:val="false"/>
          <w:i w:val="false"/>
          <w:iCs w:val="false"/>
          <w:color w:val="1A1A1A"/>
          <w:sz w:val="22"/>
          <w:szCs w:val="22"/>
        </w:rPr>
        <w:t xml:space="preserve">Most projects move from RFQ to first article build in 4-8 weeks, depending on BOM complexity and component availability. Production ramp follows within 2-4 weeks after first article approval.</w:t>
      </w:r>
    </w:p>
    <w:p>
      <w:pPr>
        <w:spacing w:after="160"/>
      </w:pPr>
      <w:r>
        <w:rPr>
          <w:rFonts w:ascii="Lato" w:cs="Lato" w:eastAsia="Lato" w:hAnsi="Lato"/>
          <w:b/>
          <w:bCs/>
          <w:i w:val="false"/>
          <w:iCs w:val="false"/>
          <w:color w:val="1A1A1A"/>
          <w:sz w:val="22"/>
          <w:szCs w:val="22"/>
        </w:rPr>
        <w:t xml:space="preserve">What certifications does GPW hold?</w:t>
      </w:r>
    </w:p>
    <w:p>
      <w:pPr>
        <w:spacing w:after="160"/>
      </w:pPr>
      <w:r>
        <w:rPr>
          <w:rFonts w:ascii="Lato" w:cs="Lato" w:eastAsia="Lato" w:hAnsi="Lato"/>
          <w:b w:val="false"/>
          <w:bCs w:val="false"/>
          <w:i w:val="false"/>
          <w:iCs w:val="false"/>
          <w:color w:val="1A1A1A"/>
          <w:sz w:val="22"/>
          <w:szCs w:val="22"/>
        </w:rPr>
        <w:t xml:space="preserve">GPW is pursuing IPC-A-610, IPC-A-620, and ISO 9001 certifications. Industry-specific certifications including ISO 13485 (medical) and AS9100 (aerospace) are also in progress. Our assembly processes follow IPC workmanship standards.</w:t>
      </w:r>
    </w:p>
    <w:p>
      <w:pPr>
        <w:spacing w:after="160"/>
      </w:pPr>
      <w:r>
        <w:rPr>
          <w:rFonts w:ascii="Lato" w:cs="Lato" w:eastAsia="Lato" w:hAnsi="Lato"/>
          <w:b/>
          <w:bCs/>
          <w:i w:val="false"/>
          <w:iCs w:val="false"/>
          <w:color w:val="1A1A1A"/>
          <w:sz w:val="22"/>
          <w:szCs w:val="22"/>
        </w:rPr>
        <w:t xml:space="preserve">Do you require minimum order quantities?</w:t>
      </w:r>
    </w:p>
    <w:p>
      <w:pPr>
        <w:spacing w:after="160"/>
      </w:pPr>
      <w:r>
        <w:rPr>
          <w:rFonts w:ascii="Lato" w:cs="Lato" w:eastAsia="Lato" w:hAnsi="Lato"/>
          <w:b w:val="false"/>
          <w:bCs w:val="false"/>
          <w:i w:val="false"/>
          <w:iCs w:val="false"/>
          <w:color w:val="1A1A1A"/>
          <w:sz w:val="22"/>
          <w:szCs w:val="22"/>
        </w:rPr>
        <w:t xml:space="preserve">No. GPW handles programs from pilot builds of 10-50 units through sustained production runs of 10,000+ units per month. We scale with your demand.</w:t>
      </w:r>
    </w:p>
    <w:p>
      <w:pPr>
        <w:spacing w:after="160"/>
      </w:pPr>
      <w:r>
        <w:rPr>
          <w:rFonts w:ascii="Lato" w:cs="Lato" w:eastAsia="Lato" w:hAnsi="Lato"/>
          <w:b/>
          <w:bCs/>
          <w:i w:val="false"/>
          <w:iCs w:val="false"/>
          <w:color w:val="1A1A1A"/>
          <w:sz w:val="22"/>
          <w:szCs w:val="22"/>
        </w:rPr>
        <w:t xml:space="preserve">Where is GPW located?</w:t>
      </w:r>
    </w:p>
    <w:p>
      <w:pPr>
        <w:spacing w:after="160"/>
      </w:pPr>
      <w:r>
        <w:rPr>
          <w:rFonts w:ascii="Lato" w:cs="Lato" w:eastAsia="Lato" w:hAnsi="Lato"/>
          <w:b w:val="false"/>
          <w:bCs w:val="false"/>
          <w:i w:val="false"/>
          <w:iCs w:val="false"/>
          <w:color w:val="1A1A1A"/>
          <w:sz w:val="22"/>
          <w:szCs w:val="22"/>
        </w:rPr>
        <w:t xml:space="preserve">GPW operates from Monterrey, Mexico — 150 miles from the U.S. border, in the same timezone (CST) as most U.S. manufacturing operations. Same-day ground shipping reaches Texas in 2 hours.</w:t>
      </w:r>
    </w:p>
    <w:p>
      <w:pPr>
        <w:pBdr>
          <w:bottom w:val="single" w:color="ADCF91" w:sz="6" w:space="1"/>
        </w:pBdr>
        <w:spacing w:after="200" w:before="200"/>
      </w:pPr>
    </w:p>
    <w:p>
      <w:pPr>
        <w:pStyle w:val="Heading2"/>
        <w:spacing w:after="120" w:before="280"/>
      </w:pPr>
      <w:r>
        <w:rPr>
          <w:rFonts w:ascii="Trirong" w:cs="Trirong" w:eastAsia="Trirong" w:hAnsi="Trirong"/>
          <w:b/>
          <w:bCs/>
          <w:color w:val="23555A"/>
          <w:sz w:val="30"/>
          <w:szCs w:val="30"/>
        </w:rPr>
        <w:t xml:space="preserve">SECTION 8: Ready to Build? Start With a Conversation.</w:t>
      </w:r>
    </w:p>
    <w:p>
      <w:pPr>
        <w:spacing w:after="160"/>
      </w:pPr>
      <w:r>
        <w:rPr>
          <w:rFonts w:ascii="Lato" w:cs="Lato" w:eastAsia="Lato" w:hAnsi="Lato"/>
          <w:b w:val="false"/>
          <w:bCs w:val="false"/>
          <w:i w:val="false"/>
          <w:iCs w:val="false"/>
          <w:color w:val="1A1A1A"/>
          <w:sz w:val="22"/>
          <w:szCs w:val="22"/>
        </w:rPr>
        <w:t xml:space="preserve">Whether you are nearshoring for the first time, adding a second-source assembly partner, or scaling a program that has outgrown your current supplier — GPW is built to deliver.</w:t>
      </w:r>
    </w:p>
    <w:p>
      <w:pPr>
        <w:spacing w:after="160"/>
      </w:pPr>
      <w:r>
        <w:rPr>
          <w:rFonts w:ascii="Lato" w:cs="Lato" w:eastAsia="Lato" w:hAnsi="Lato"/>
          <w:b w:val="false"/>
          <w:bCs w:val="false"/>
          <w:i w:val="false"/>
          <w:iCs w:val="false"/>
          <w:color w:val="1A1A1A"/>
          <w:sz w:val="22"/>
          <w:szCs w:val="22"/>
        </w:rPr>
        <w:t xml:space="preserve">Large enough to handle production volumes. Ready to scale when demand grows. Small enough that your program gets dedicated engineering attention.</w:t>
      </w:r>
    </w:p>
    <w:p>
      <w:pPr>
        <w:spacing w:after="160"/>
      </w:pPr>
      <w:r>
        <w:rPr>
          <w:rFonts w:ascii="Lato" w:cs="Lato" w:eastAsia="Lato" w:hAnsi="Lato"/>
          <w:b w:val="false"/>
          <w:bCs w:val="false"/>
          <w:i w:val="false"/>
          <w:iCs w:val="false"/>
          <w:color w:val="1A1A1A"/>
          <w:sz w:val="22"/>
          <w:szCs w:val="22"/>
        </w:rPr>
        <w:t xml:space="preserve">Tell us about your project. Our engineering team reviews every submission and responds within 48 hours with an initial assessment, timeline estimate, and next steps.</w:t>
      </w:r>
    </w:p>
    <w:p>
      <w:pPr>
        <w:spacing w:after="80"/>
      </w:pPr>
      <w:r>
        <w:rPr>
          <w:rFonts w:ascii="Lato" w:cs="Lato" w:eastAsia="Lato" w:hAnsi="Lato"/>
          <w:b/>
          <w:bCs/>
          <w:i w:val="false"/>
          <w:iCs w:val="false"/>
          <w:color w:val="2A4E64"/>
          <w:sz w:val="20"/>
          <w:szCs w:val="20"/>
        </w:rPr>
        <w:t xml:space="preserve">Primary CTA (Coral Button): </w:t>
      </w:r>
      <w:r>
        <w:rPr>
          <w:rFonts w:ascii="Lato" w:cs="Lato" w:eastAsia="Lato" w:hAnsi="Lato"/>
          <w:b w:val="false"/>
          <w:bCs w:val="false"/>
          <w:i w:val="false"/>
          <w:iCs w:val="false"/>
          <w:color w:val="666666"/>
          <w:sz w:val="20"/>
          <w:szCs w:val="20"/>
        </w:rPr>
        <w:t xml:space="preserve">Request a Quote</w:t>
      </w:r>
    </w:p>
    <w:p>
      <w:pPr>
        <w:spacing w:after="80"/>
      </w:pPr>
      <w:r>
        <w:rPr>
          <w:rFonts w:ascii="Lato" w:cs="Lato" w:eastAsia="Lato" w:hAnsi="Lato"/>
          <w:b/>
          <w:bCs/>
          <w:i w:val="false"/>
          <w:iCs w:val="false"/>
          <w:color w:val="2A4E64"/>
          <w:sz w:val="20"/>
          <w:szCs w:val="20"/>
        </w:rPr>
        <w:t xml:space="preserve">Secondary CTA (Teal Button): </w:t>
      </w:r>
      <w:r>
        <w:rPr>
          <w:rFonts w:ascii="Lato" w:cs="Lato" w:eastAsia="Lato" w:hAnsi="Lato"/>
          <w:b w:val="false"/>
          <w:bCs w:val="false"/>
          <w:i w:val="false"/>
          <w:iCs w:val="false"/>
          <w:color w:val="666666"/>
          <w:sz w:val="20"/>
          <w:szCs w:val="20"/>
        </w:rPr>
        <w:t xml:space="preserve">Schedule a Facility Tour</w:t>
      </w:r>
    </w:p>
    <w:p>
      <w:pPr>
        <w:spacing w:after="80"/>
      </w:pPr>
      <w:r>
        <w:rPr>
          <w:rFonts w:ascii="Lato" w:cs="Lato" w:eastAsia="Lato" w:hAnsi="Lato"/>
          <w:b/>
          <w:bCs/>
          <w:i w:val="false"/>
          <w:iCs w:val="false"/>
          <w:color w:val="2A4E64"/>
          <w:sz w:val="20"/>
          <w:szCs w:val="20"/>
        </w:rPr>
        <w:t xml:space="preserve">Reassurance Line: </w:t>
      </w:r>
      <w:r>
        <w:rPr>
          <w:rFonts w:ascii="Lato" w:cs="Lato" w:eastAsia="Lato" w:hAnsi="Lato"/>
          <w:b w:val="false"/>
          <w:bCs w:val="false"/>
          <w:i w:val="false"/>
          <w:iCs w:val="false"/>
          <w:color w:val="666666"/>
          <w:sz w:val="20"/>
          <w:szCs w:val="20"/>
        </w:rPr>
        <w:t xml:space="preserve">No minimum order. Pilot builds available for qualification. We speak your language and work your hours.</w:t>
      </w:r>
    </w:p>
    <w:p>
      <w:pPr>
        <w:pBdr>
          <w:bottom w:val="single" w:color="ADCF91" w:sz="6" w:space="1"/>
        </w:pBdr>
        <w:spacing w:after="200" w:before="200"/>
      </w:pPr>
    </w:p>
    <w:p>
      <w:pPr>
        <w:pStyle w:val="Heading2"/>
        <w:spacing w:after="120" w:before="280"/>
      </w:pPr>
      <w:r>
        <w:rPr>
          <w:rFonts w:ascii="Trirong" w:cs="Trirong" w:eastAsia="Trirong" w:hAnsi="Trirong"/>
          <w:b/>
          <w:bCs/>
          <w:color w:val="23555A"/>
          <w:sz w:val="30"/>
          <w:szCs w:val="30"/>
        </w:rPr>
        <w:t xml:space="preserve">PAGE METADATA</w:t>
      </w:r>
    </w:p>
    <w:p>
      <w:pPr>
        <w:spacing w:after="80"/>
      </w:pPr>
      <w:r>
        <w:rPr>
          <w:rFonts w:ascii="Lato" w:cs="Lato" w:eastAsia="Lato" w:hAnsi="Lato"/>
          <w:b/>
          <w:bCs/>
          <w:i w:val="false"/>
          <w:iCs w:val="false"/>
          <w:color w:val="2A4E64"/>
          <w:sz w:val="20"/>
          <w:szCs w:val="20"/>
        </w:rPr>
        <w:t xml:space="preserve">URL: </w:t>
      </w:r>
      <w:r>
        <w:rPr>
          <w:rFonts w:ascii="Lato" w:cs="Lato" w:eastAsia="Lato" w:hAnsi="Lato"/>
          <w:b w:val="false"/>
          <w:bCs w:val="false"/>
          <w:i w:val="false"/>
          <w:iCs w:val="false"/>
          <w:color w:val="666666"/>
          <w:sz w:val="20"/>
          <w:szCs w:val="20"/>
        </w:rPr>
        <w:t xml:space="preserve">/electromechanical-assembly/</w:t>
      </w:r>
    </w:p>
    <w:p>
      <w:pPr>
        <w:spacing w:after="80"/>
      </w:pPr>
      <w:r>
        <w:rPr>
          <w:rFonts w:ascii="Lato" w:cs="Lato" w:eastAsia="Lato" w:hAnsi="Lato"/>
          <w:b/>
          <w:bCs/>
          <w:i w:val="false"/>
          <w:iCs w:val="false"/>
          <w:color w:val="2A4E64"/>
          <w:sz w:val="20"/>
          <w:szCs w:val="20"/>
        </w:rPr>
        <w:t xml:space="preserve">H1: </w:t>
      </w:r>
      <w:r>
        <w:rPr>
          <w:rFonts w:ascii="Lato" w:cs="Lato" w:eastAsia="Lato" w:hAnsi="Lato"/>
          <w:b w:val="false"/>
          <w:bCs w:val="false"/>
          <w:i w:val="false"/>
          <w:iCs w:val="false"/>
          <w:color w:val="666666"/>
          <w:sz w:val="20"/>
          <w:szCs w:val="20"/>
        </w:rPr>
        <w:t xml:space="preserve">Electromechanical Assembly. Complex Builds. Nearshore Speed.</w:t>
      </w:r>
    </w:p>
    <w:p>
      <w:pPr>
        <w:spacing w:after="80"/>
      </w:pPr>
      <w:r>
        <w:rPr>
          <w:rFonts w:ascii="Lato" w:cs="Lato" w:eastAsia="Lato" w:hAnsi="Lato"/>
          <w:b/>
          <w:bCs/>
          <w:i w:val="false"/>
          <w:iCs w:val="false"/>
          <w:color w:val="2A4E64"/>
          <w:sz w:val="20"/>
          <w:szCs w:val="20"/>
        </w:rPr>
        <w:t xml:space="preserve">Title Tag: </w:t>
      </w:r>
      <w:r>
        <w:rPr>
          <w:rFonts w:ascii="Lato" w:cs="Lato" w:eastAsia="Lato" w:hAnsi="Lato"/>
          <w:b w:val="false"/>
          <w:bCs w:val="false"/>
          <w:i w:val="false"/>
          <w:iCs w:val="false"/>
          <w:color w:val="666666"/>
          <w:sz w:val="20"/>
          <w:szCs w:val="20"/>
        </w:rPr>
        <w:t xml:space="preserve">GPW | Electromechanical Assembly Services in Monterrey, Mexico (58 chars)</w:t>
      </w:r>
    </w:p>
    <w:p>
      <w:pPr>
        <w:spacing w:after="80"/>
      </w:pPr>
      <w:r>
        <w:rPr>
          <w:rFonts w:ascii="Lato" w:cs="Lato" w:eastAsia="Lato" w:hAnsi="Lato"/>
          <w:b/>
          <w:bCs/>
          <w:i w:val="false"/>
          <w:iCs w:val="false"/>
          <w:color w:val="2A4E64"/>
          <w:sz w:val="20"/>
          <w:szCs w:val="20"/>
        </w:rPr>
        <w:t xml:space="preserve">Meta Description: </w:t>
      </w:r>
      <w:r>
        <w:rPr>
          <w:rFonts w:ascii="Lato" w:cs="Lato" w:eastAsia="Lato" w:hAnsi="Lato"/>
          <w:b w:val="false"/>
          <w:bCs w:val="false"/>
          <w:i w:val="false"/>
          <w:iCs w:val="false"/>
          <w:color w:val="666666"/>
          <w:sz w:val="20"/>
          <w:szCs w:val="20"/>
        </w:rPr>
        <w:t xml:space="preserve">Global Precision Works delivers electromechanical assembly for U.S. OEMs — box build, cable harness, system integration, and testing from Monterrey. Request a quote. (159 chars)</w:t>
      </w:r>
    </w:p>
    <w:p>
      <w:pPr>
        <w:spacing w:after="80"/>
      </w:pPr>
      <w:r>
        <w:rPr>
          <w:rFonts w:ascii="Lato" w:cs="Lato" w:eastAsia="Lato" w:hAnsi="Lato"/>
          <w:b/>
          <w:bCs/>
          <w:i w:val="false"/>
          <w:iCs w:val="false"/>
          <w:color w:val="2A4E64"/>
          <w:sz w:val="20"/>
          <w:szCs w:val="20"/>
        </w:rPr>
        <w:t xml:space="preserve">Primary Keyword: </w:t>
      </w:r>
      <w:r>
        <w:rPr>
          <w:rFonts w:ascii="Lato" w:cs="Lato" w:eastAsia="Lato" w:hAnsi="Lato"/>
          <w:b w:val="false"/>
          <w:bCs w:val="false"/>
          <w:i w:val="false"/>
          <w:iCs w:val="false"/>
          <w:color w:val="666666"/>
          <w:sz w:val="20"/>
          <w:szCs w:val="20"/>
        </w:rPr>
        <w:t xml:space="preserve">electromechanical assembly Mexico</w:t>
      </w:r>
    </w:p>
    <w:p>
      <w:pPr>
        <w:spacing w:after="80"/>
      </w:pPr>
      <w:r>
        <w:rPr>
          <w:rFonts w:ascii="Lato" w:cs="Lato" w:eastAsia="Lato" w:hAnsi="Lato"/>
          <w:b/>
          <w:bCs/>
          <w:i w:val="false"/>
          <w:iCs w:val="false"/>
          <w:color w:val="2A4E64"/>
          <w:sz w:val="20"/>
          <w:szCs w:val="20"/>
        </w:rPr>
        <w:t xml:space="preserve">Secondary Keywords: </w:t>
      </w:r>
      <w:r>
        <w:rPr>
          <w:rFonts w:ascii="Lato" w:cs="Lato" w:eastAsia="Lato" w:hAnsi="Lato"/>
          <w:b w:val="false"/>
          <w:bCs w:val="false"/>
          <w:i w:val="false"/>
          <w:iCs w:val="false"/>
          <w:color w:val="666666"/>
          <w:sz w:val="20"/>
          <w:szCs w:val="20"/>
        </w:rPr>
        <w:t xml:space="preserve">electromechanical assembly services, nearshore assembly Mexico, EMS Monterrey</w:t>
      </w:r>
    </w:p>
    <w:p>
      <w:pPr>
        <w:spacing w:after="80"/>
      </w:pPr>
      <w:r>
        <w:rPr>
          <w:rFonts w:ascii="Lato" w:cs="Lato" w:eastAsia="Lato" w:hAnsi="Lato"/>
          <w:b/>
          <w:bCs/>
          <w:i w:val="false"/>
          <w:iCs w:val="false"/>
          <w:color w:val="2A4E64"/>
          <w:sz w:val="20"/>
          <w:szCs w:val="20"/>
        </w:rPr>
        <w:t xml:space="preserve">Schema Markup: </w:t>
      </w:r>
      <w:r>
        <w:rPr>
          <w:rFonts w:ascii="Lato" w:cs="Lato" w:eastAsia="Lato" w:hAnsi="Lato"/>
          <w:b w:val="false"/>
          <w:bCs w:val="false"/>
          <w:i w:val="false"/>
          <w:iCs w:val="false"/>
          <w:color w:val="666666"/>
          <w:sz w:val="20"/>
          <w:szCs w:val="20"/>
        </w:rPr>
        <w:t xml:space="preserve">Service (mainEntityOfPage), with offers for each of 5 core services</w:t>
      </w:r>
    </w:p>
    <w:p>
      <w:pPr>
        <w:spacing w:after="80"/>
      </w:pPr>
      <w:r>
        <w:rPr>
          <w:rFonts w:ascii="Lato" w:cs="Lato" w:eastAsia="Lato" w:hAnsi="Lato"/>
          <w:b/>
          <w:bCs/>
          <w:i w:val="false"/>
          <w:iCs w:val="false"/>
          <w:color w:val="2A4E64"/>
          <w:sz w:val="20"/>
          <w:szCs w:val="20"/>
        </w:rPr>
        <w:t xml:space="preserve">Internal Links: </w:t>
      </w:r>
      <w:r>
        <w:rPr>
          <w:rFonts w:ascii="Lato" w:cs="Lato" w:eastAsia="Lato" w:hAnsi="Lato"/>
          <w:b w:val="false"/>
          <w:bCs w:val="false"/>
          <w:i w:val="false"/>
          <w:iCs w:val="false"/>
          <w:color w:val="666666"/>
          <w:sz w:val="20"/>
          <w:szCs w:val="20"/>
        </w:rPr>
        <w:t xml:space="preserve">- /services/ (Services Hub)</w:t>
      </w:r>
    </w:p>
    <w:p>
      <w:pPr>
        <w:pStyle w:val="ListParagraph"/>
        <w:numPr>
          <w:ilvl w:val="0"/>
          <w:numId w:val="2"/>
        </w:numPr>
        <w:spacing w:after="80"/>
      </w:pPr>
      <w:r>
        <w:rPr>
          <w:rFonts w:ascii="Lato" w:cs="Lato" w:eastAsia="Lato" w:hAnsi="Lato"/>
          <w:b w:val="false"/>
          <w:bCs w:val="false"/>
          <w:i w:val="false"/>
          <w:iCs w:val="false"/>
          <w:color w:val="1A1A1A"/>
          <w:sz w:val="22"/>
          <w:szCs w:val="22"/>
        </w:rPr>
        <w:t xml:space="preserve">/services/box-build-assembly/</w:t>
      </w:r>
    </w:p>
    <w:p>
      <w:pPr>
        <w:pStyle w:val="ListParagraph"/>
        <w:numPr>
          <w:ilvl w:val="0"/>
          <w:numId w:val="2"/>
        </w:numPr>
        <w:spacing w:after="80"/>
      </w:pPr>
      <w:r>
        <w:rPr>
          <w:rFonts w:ascii="Lato" w:cs="Lato" w:eastAsia="Lato" w:hAnsi="Lato"/>
          <w:b w:val="false"/>
          <w:bCs w:val="false"/>
          <w:i w:val="false"/>
          <w:iCs w:val="false"/>
          <w:color w:val="1A1A1A"/>
          <w:sz w:val="22"/>
          <w:szCs w:val="22"/>
        </w:rPr>
        <w:t xml:space="preserve">/services/cable-harness-assembly/</w:t>
      </w:r>
    </w:p>
    <w:p>
      <w:pPr>
        <w:pStyle w:val="ListParagraph"/>
        <w:numPr>
          <w:ilvl w:val="0"/>
          <w:numId w:val="2"/>
        </w:numPr>
        <w:spacing w:after="80"/>
      </w:pPr>
      <w:r>
        <w:rPr>
          <w:rFonts w:ascii="Lato" w:cs="Lato" w:eastAsia="Lato" w:hAnsi="Lato"/>
          <w:b w:val="false"/>
          <w:bCs w:val="false"/>
          <w:i w:val="false"/>
          <w:iCs w:val="false"/>
          <w:color w:val="1A1A1A"/>
          <w:sz w:val="22"/>
          <w:szCs w:val="22"/>
        </w:rPr>
        <w:t xml:space="preserve">/services/system-integration/</w:t>
      </w:r>
    </w:p>
    <w:p>
      <w:pPr>
        <w:pStyle w:val="ListParagraph"/>
        <w:numPr>
          <w:ilvl w:val="0"/>
          <w:numId w:val="2"/>
        </w:numPr>
        <w:spacing w:after="80"/>
      </w:pPr>
      <w:r>
        <w:rPr>
          <w:rFonts w:ascii="Lato" w:cs="Lato" w:eastAsia="Lato" w:hAnsi="Lato"/>
          <w:b w:val="false"/>
          <w:bCs w:val="false"/>
          <w:i w:val="false"/>
          <w:iCs w:val="false"/>
          <w:color w:val="1A1A1A"/>
          <w:sz w:val="22"/>
          <w:szCs w:val="22"/>
        </w:rPr>
        <w:t xml:space="preserve">/services/testing-inspection/</w:t>
      </w:r>
    </w:p>
    <w:p>
      <w:pPr>
        <w:pStyle w:val="ListParagraph"/>
        <w:numPr>
          <w:ilvl w:val="0"/>
          <w:numId w:val="2"/>
        </w:numPr>
        <w:spacing w:after="80"/>
      </w:pPr>
      <w:r>
        <w:rPr>
          <w:rFonts w:ascii="Lato" w:cs="Lato" w:eastAsia="Lato" w:hAnsi="Lato"/>
          <w:b w:val="false"/>
          <w:bCs w:val="false"/>
          <w:i w:val="false"/>
          <w:iCs w:val="false"/>
          <w:color w:val="1A1A1A"/>
          <w:sz w:val="22"/>
          <w:szCs w:val="22"/>
        </w:rPr>
        <w:t xml:space="preserve">/services/enclosure-cabinet-assembly/</w:t>
      </w:r>
    </w:p>
    <w:p>
      <w:pPr>
        <w:pStyle w:val="ListParagraph"/>
        <w:numPr>
          <w:ilvl w:val="0"/>
          <w:numId w:val="2"/>
        </w:numPr>
        <w:spacing w:after="80"/>
      </w:pPr>
      <w:r>
        <w:rPr>
          <w:rFonts w:ascii="Lato" w:cs="Lato" w:eastAsia="Lato" w:hAnsi="Lato"/>
          <w:b w:val="false"/>
          <w:bCs w:val="false"/>
          <w:i w:val="false"/>
          <w:iCs w:val="false"/>
          <w:color w:val="1A1A1A"/>
          <w:sz w:val="22"/>
          <w:szCs w:val="22"/>
        </w:rPr>
        <w:t xml:space="preserve">All 8 industry pages</w:t>
      </w:r>
    </w:p>
    <w:p>
      <w:pPr>
        <w:pStyle w:val="ListParagraph"/>
        <w:numPr>
          <w:ilvl w:val="0"/>
          <w:numId w:val="2"/>
        </w:numPr>
        <w:spacing w:after="80"/>
      </w:pPr>
      <w:r>
        <w:rPr>
          <w:rFonts w:ascii="Lato" w:cs="Lato" w:eastAsia="Lato" w:hAnsi="Lato"/>
          <w:b w:val="false"/>
          <w:bCs w:val="false"/>
          <w:i w:val="false"/>
          <w:iCs w:val="false"/>
          <w:color w:val="1A1A1A"/>
          <w:sz w:val="22"/>
          <w:szCs w:val="22"/>
        </w:rPr>
        <w:t xml:space="preserve">/about-ems/</w:t>
      </w:r>
    </w:p>
    <w:p>
      <w:pPr>
        <w:pStyle w:val="ListParagraph"/>
        <w:numPr>
          <w:ilvl w:val="0"/>
          <w:numId w:val="2"/>
        </w:numPr>
        <w:spacing w:after="80"/>
      </w:pPr>
      <w:r>
        <w:rPr>
          <w:rFonts w:ascii="Lato" w:cs="Lato" w:eastAsia="Lato" w:hAnsi="Lato"/>
          <w:b w:val="false"/>
          <w:bCs w:val="false"/>
          <w:i w:val="false"/>
          <w:iCs w:val="false"/>
          <w:color w:val="1A1A1A"/>
          <w:sz w:val="22"/>
          <w:szCs w:val="22"/>
        </w:rPr>
        <w:t xml:space="preserve">/request-quote/</w:t>
      </w:r>
    </w:p>
    <w:p>
      <w:pPr>
        <w:pStyle w:val="ListParagraph"/>
        <w:numPr>
          <w:ilvl w:val="0"/>
          <w:numId w:val="2"/>
        </w:numPr>
        <w:spacing w:after="80"/>
      </w:pPr>
      <w:r>
        <w:rPr>
          <w:rFonts w:ascii="Lato" w:cs="Lato" w:eastAsia="Lato" w:hAnsi="Lato"/>
          <w:b w:val="false"/>
          <w:bCs w:val="false"/>
          <w:i w:val="false"/>
          <w:iCs w:val="false"/>
          <w:color w:val="1A1A1A"/>
          <w:sz w:val="22"/>
          <w:szCs w:val="22"/>
        </w:rPr>
        <w:t xml:space="preserve">Blog (future)</w:t>
      </w:r>
    </w:p>
    <w:p>
      <w:pPr>
        <w:spacing w:after="80"/>
      </w:pPr>
      <w:r>
        <w:rPr>
          <w:rFonts w:ascii="Lato" w:cs="Lato" w:eastAsia="Lato" w:hAnsi="Lato"/>
          <w:b/>
          <w:bCs/>
          <w:i w:val="false"/>
          <w:iCs w:val="false"/>
          <w:color w:val="2A4E64"/>
          <w:sz w:val="20"/>
          <w:szCs w:val="20"/>
        </w:rPr>
        <w:t xml:space="preserve">Image Requirements: </w:t>
      </w:r>
      <w:r>
        <w:rPr>
          <w:rFonts w:ascii="Lato" w:cs="Lato" w:eastAsia="Lato" w:hAnsi="Lato"/>
          <w:b w:val="false"/>
          <w:bCs w:val="false"/>
          <w:i w:val="false"/>
          <w:iCs w:val="false"/>
          <w:color w:val="666666"/>
          <w:sz w:val="20"/>
          <w:szCs w:val="20"/>
        </w:rPr>
        <w:t xml:space="preserve">- Hero: Production floor wide shot — operators assembling electromechanical products</w:t>
      </w:r>
    </w:p>
    <w:p>
      <w:pPr>
        <w:pStyle w:val="ListParagraph"/>
        <w:numPr>
          <w:ilvl w:val="0"/>
          <w:numId w:val="2"/>
        </w:numPr>
        <w:spacing w:after="80"/>
      </w:pPr>
      <w:r>
        <w:rPr>
          <w:rFonts w:ascii="Lato" w:cs="Lato" w:eastAsia="Lato" w:hAnsi="Lato"/>
          <w:b w:val="false"/>
          <w:bCs w:val="false"/>
          <w:i w:val="false"/>
          <w:iCs w:val="false"/>
          <w:color w:val="1A1A1A"/>
          <w:sz w:val="22"/>
          <w:szCs w:val="22"/>
        </w:rPr>
        <w:t xml:space="preserve">Services: 5 service icons (consistent style, GPW brand colors)</w:t>
      </w:r>
    </w:p>
    <w:p>
      <w:pPr>
        <w:pStyle w:val="ListParagraph"/>
        <w:numPr>
          <w:ilvl w:val="0"/>
          <w:numId w:val="2"/>
        </w:numPr>
        <w:spacing w:after="80"/>
      </w:pPr>
      <w:r>
        <w:rPr>
          <w:rFonts w:ascii="Lato" w:cs="Lato" w:eastAsia="Lato" w:hAnsi="Lato"/>
          <w:b w:val="false"/>
          <w:bCs w:val="false"/>
          <w:i w:val="false"/>
          <w:iCs w:val="false"/>
          <w:color w:val="1A1A1A"/>
          <w:sz w:val="22"/>
          <w:szCs w:val="22"/>
        </w:rPr>
        <w:t xml:space="preserve">Industries: 8 industry icons (reuse from homepage, link to individual pages)</w:t>
      </w:r>
    </w:p>
    <w:p>
      <w:pPr>
        <w:pStyle w:val="ListParagraph"/>
        <w:numPr>
          <w:ilvl w:val="0"/>
          <w:numId w:val="2"/>
        </w:numPr>
        <w:spacing w:after="80"/>
      </w:pPr>
      <w:r>
        <w:rPr>
          <w:rFonts w:ascii="Lato" w:cs="Lato" w:eastAsia="Lato" w:hAnsi="Lato"/>
          <w:b w:val="false"/>
          <w:bCs w:val="false"/>
          <w:i w:val="false"/>
          <w:iCs w:val="false"/>
          <w:color w:val="1A1A1A"/>
          <w:sz w:val="22"/>
          <w:szCs w:val="22"/>
        </w:rPr>
        <w:t xml:space="preserve">Nearshore: Map or infographic showing Monterrey-to-US proximity</w:t>
      </w:r>
    </w:p>
    <w:p>
      <w:pPr>
        <w:pStyle w:val="ListParagraph"/>
        <w:numPr>
          <w:ilvl w:val="0"/>
          <w:numId w:val="2"/>
        </w:numPr>
        <w:spacing w:after="80"/>
      </w:pPr>
      <w:r>
        <w:rPr>
          <w:rFonts w:ascii="Lato" w:cs="Lato" w:eastAsia="Lato" w:hAnsi="Lato"/>
          <w:b w:val="false"/>
          <w:bCs w:val="false"/>
          <w:i w:val="false"/>
          <w:iCs w:val="false"/>
          <w:color w:val="1A1A1A"/>
          <w:sz w:val="22"/>
          <w:szCs w:val="22"/>
        </w:rPr>
        <w:t xml:space="preserve">Quality: Close-up of testing equipment or quality inspection in progress</w:t>
      </w:r>
    </w:p>
    <w:p>
      <w:pPr>
        <w:pBdr>
          <w:bottom w:val="single" w:color="ADCF91"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DCF91" w:sz="1"/>
              <w:left w:val="single" w:color="ADCF91" w:sz="12"/>
              <w:bottom w:val="single" w:color="ADCF91" w:sz="1"/>
              <w:right w:val="single" w:color="ADCF91" w:sz="1"/>
            </w:tcBorders>
            <w:shd w:fill="EAF2F3" w:val="clear"/>
            <w:tcMar>
              <w:top w:type="dxa" w:w="100"/>
              <w:left w:type="dxa" w:w="200"/>
              <w:bottom w:type="dxa" w:w="100"/>
              <w:right w:type="dxa" w:w="200"/>
            </w:tcMar>
          </w:tcPr>
          <w:p>
            <w:r>
              <w:rPr>
                <w:rFonts w:ascii="Lato" w:cs="Lato" w:eastAsia="Lato" w:hAnsi="Lato"/>
                <w:i/>
                <w:iCs/>
                <w:color w:val="2A4E64"/>
                <w:sz w:val="20"/>
                <w:szCs w:val="20"/>
              </w:rPr>
              <w:t xml:space="preserve">Word Count: ~2,000 (within 2,000–2,500 target)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DCF91" w:sz="1"/>
              <w:left w:val="single" w:color="ADCF91" w:sz="12"/>
              <w:bottom w:val="single" w:color="ADCF91" w:sz="1"/>
              <w:right w:val="single" w:color="ADCF91" w:sz="1"/>
            </w:tcBorders>
            <w:shd w:fill="EAF2F3" w:val="clear"/>
            <w:tcMar>
              <w:top w:type="dxa" w:w="100"/>
              <w:left w:type="dxa" w:w="200"/>
              <w:bottom w:type="dxa" w:w="100"/>
              <w:right w:type="dxa" w:w="200"/>
            </w:tcMar>
          </w:tcPr>
          <w:p>
            <w:r>
              <w:rPr>
                <w:rFonts w:ascii="Lato" w:cs="Lato" w:eastAsia="Lato" w:hAnsi="Lato"/>
                <w:i/>
                <w:iCs/>
                <w:color w:val="2A4E64"/>
                <w:sz w:val="20"/>
                <w:szCs w:val="20"/>
              </w:rPr>
              <w:t xml:space="preserve">Copywriting Guide Compliance: ✅ Present tense · ✅ Active voice · ✅ Specific numbers · ✅ No superlatives · ✅ Customer language · ✅ CTA hierarchy (Coral primary, Teal secondary) · ✅ Definition block (AI-extractable) · ✅ "Pursuing" for certifications · ✅ Company named correctly (Global Precision Works / GPW — never "GPW Solutions") · ✅ Brand phrases used naturally · ✅ Mid-page CTA present · ✅ FAQ section with schema · ✅ H3s as headlines with benefits</w:t>
            </w:r>
          </w:p>
        </w:tc>
      </w:tr>
    </w:tbl>
    <w:p>
      <w:pPr>
        <w:spacing w:after="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3555A" w:sz="4" w:space="4"/>
      </w:pBdr>
    </w:pPr>
    <w:r>
      <w:rPr>
        <w:rFonts w:ascii="Lato" w:cs="Lato" w:eastAsia="Lato" w:hAnsi="Lato"/>
        <w:color w:val="666666"/>
        <w:sz w:val="16"/>
        <w:szCs w:val="16"/>
      </w:rPr>
      <w:t xml:space="preserve">Confidential  |  Page </w:t>
    </w:r>
    <w:r>
      <w:rPr>
        <w:rFonts w:ascii="Lato" w:cs="Lato" w:eastAsia="Lato" w:hAnsi="Lato"/>
        <w:color w:val="666666"/>
        <w:sz w:val="16"/>
        <w:szCs w:val="16"/>
      </w:rPr>
      <w:fldChar w:fldCharType="begin"/>
      <w:instrText xml:space="preserve">PAGE</w:instrText>
      <w:fldChar w:fldCharType="separate"/>
      <w:fldChar w:fldCharType="end"/>
    </w:r>
    <w:r>
      <w:rPr>
        <w:rFonts w:ascii="Lato" w:cs="Lato" w:eastAsia="Lato" w:hAnsi="Lato"/>
        <w:color w:val="666666"/>
        <w:sz w:val="16"/>
        <w:szCs w:val="16"/>
      </w:rPr>
      <w:t xml:space="preserve">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3555A" w:sz="4" w:space="4"/>
      </w:pBdr>
    </w:pPr>
    <w:r>
      <w:rPr>
        <w:rFonts w:ascii="Lato" w:cs="Lato" w:eastAsia="Lato" w:hAnsi="Lato"/>
        <w:color w:val="666666"/>
        <w:sz w:val="16"/>
        <w:szCs w:val="16"/>
      </w:rPr>
      <w:t xml:space="preserve">GPW Solutions  |  Website Copy  |  EMS Division Home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ED835E"/>
      </w:rPr>
    </w:lvl>
  </w:abstractNum>
  <w:abstractNum w:abstractNumId="3" w15:restartNumberingAfterBreak="0">
    <w:multiLevelType w:val="hybridMultilevel"/>
    <w:lvl w:ilvl="0" w15:tentative="1">
      <w:start w:val="1"/>
      <w:numFmt w:val="decimal"/>
      <w:lvlText w:val="%1."/>
      <w:lvlJc w:val="left"/>
      <w:pPr>
        <w:ind w:left="720" w:hanging="360"/>
      </w:pPr>
      <w:rPr>
        <w:b/>
        <w:bCs/>
        <w:color w:val="23555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rirong" w:cs="Trirong" w:eastAsia="Trirong" w:hAnsi="Trirong"/>
      <w:b/>
      <w:bCs/>
      <w:color w:val="23555A"/>
      <w:sz w:val="36"/>
      <w:szCs w:val="36"/>
    </w:rPr>
  </w:style>
  <w:style w:type="paragraph" w:styleId="Heading2">
    <w:name w:val="Heading 2"/>
    <w:basedOn w:val="Normal"/>
    <w:next w:val="Normal"/>
    <w:qFormat/>
    <w:pPr>
      <w:spacing w:after="120" w:before="280"/>
      <w:outlineLvl w:val="1"/>
    </w:pPr>
    <w:rPr>
      <w:rFonts w:ascii="Trirong" w:cs="Trirong" w:eastAsia="Trirong" w:hAnsi="Trirong"/>
      <w:b/>
      <w:bCs/>
      <w:color w:val="23555A"/>
      <w:sz w:val="30"/>
      <w:szCs w:val="30"/>
    </w:rPr>
  </w:style>
  <w:style w:type="paragraph" w:styleId="Heading3">
    <w:name w:val="Heading 3"/>
    <w:basedOn w:val="Normal"/>
    <w:next w:val="Normal"/>
    <w:qFormat/>
    <w:pPr>
      <w:spacing w:after="120" w:before="200"/>
      <w:outlineLvl w:val="2"/>
    </w:pPr>
    <w:rPr>
      <w:rFonts w:ascii="Trirong" w:cs="Trirong" w:eastAsia="Trirong" w:hAnsi="Trirong"/>
      <w:b/>
      <w:bCs/>
      <w:color w:val="2A4E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2026-03-05T05:42:40.261Z</dcterms:created>
  <dcterms:modified xsi:type="dcterms:W3CDTF">2026-03-05T05:42:40.262Z</dcterms:modified>
</cp:coreProperties>
</file>

<file path=docProps/custom.xml><?xml version="1.0" encoding="utf-8"?>
<Properties xmlns="http://schemas.openxmlformats.org/officeDocument/2006/custom-properties" xmlns:vt="http://schemas.openxmlformats.org/officeDocument/2006/docPropsVTypes"/>
</file>