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rirong" w:cs="Trirong" w:eastAsia="Trirong" w:hAnsi="Trirong"/>
          <w:b/>
          <w:bCs/>
          <w:color w:val="23555A"/>
          <w:sz w:val="44"/>
          <w:szCs w:val="44"/>
        </w:rPr>
        <w:t xml:space="preserve">GLOBAL PRECISION WORKS</w:t>
      </w:r>
    </w:p>
    <w:p>
      <w:pPr>
        <w:spacing w:after="600"/>
        <w:jc w:val="center"/>
      </w:pPr>
      <w:r>
        <w:rPr>
          <w:rFonts w:ascii="Lato" w:cs="Lato" w:eastAsia="Lato" w:hAnsi="Lato"/>
          <w:color w:val="2A4E64"/>
          <w:sz w:val="32"/>
          <w:szCs w:val="32"/>
        </w:rPr>
        <w:t xml:space="preserve">About the EMS Division</w:t>
      </w:r>
    </w:p>
    <w:p>
      <w:pPr>
        <w:pBdr>
          <w:top w:val="single" w:color="ED835E" w:sz="6"/>
        </w:pBdr>
        <w:spacing w:after="100"/>
        <w:jc w:val="center"/>
      </w:pPr>
    </w:p>
    <w:p>
      <w:pPr>
        <w:spacing w:after="80"/>
        <w:jc w:val="center"/>
      </w:pPr>
      <w:r>
        <w:rPr>
          <w:rFonts w:ascii="Lato" w:cs="Lato" w:eastAsia="Lato" w:hAnsi="Lato"/>
          <w:color w:val="666666"/>
          <w:sz w:val="22"/>
          <w:szCs w:val="22"/>
        </w:rPr>
        <w:t xml:space="preserve">Page Copy Deliverable — Phase 3</w:t>
      </w:r>
    </w:p>
    <w:p>
      <w:pPr>
        <w:spacing w:after="400"/>
        <w:jc w:val="center"/>
      </w:pPr>
      <w:r>
        <w:rPr>
          <w:rFonts w:ascii="Lato" w:cs="Lato" w:eastAsia="Lato" w:hAnsi="Lato"/>
          <w:color w:val="666666"/>
          <w:sz w:val="22"/>
          <w:szCs w:val="22"/>
        </w:rPr>
        <w:t xml:space="preserve">URL: /electromechanical-assembly/about/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left w:val="none"/>
              <w:bottom w:val="none"/>
              <w:right w:val="none"/>
            </w:tcBorders>
            <w:shd w:fill="23555A" w:val="clear"/>
            <w:tcMar>
              <w:top w:type="dxa" w:w="160"/>
              <w:left w:type="dxa" w:w="200"/>
              <w:bottom w:type="dxa" w:w="160"/>
              <w:right w:type="dxa" w:w="200"/>
            </w:tcMar>
          </w:tcPr>
          <w:p>
            <w:pPr>
              <w:jc w:val="center"/>
            </w:pPr>
            <w:r>
              <w:rPr>
                <w:rFonts w:ascii="Lato" w:cs="Lato" w:eastAsia="Lato" w:hAnsi="Lato"/>
                <w:color w:val="ADCF91"/>
                <w:sz w:val="18"/>
                <w:szCs w:val="18"/>
              </w:rPr>
              <w:t xml:space="preserve">Word Count</w:t>
            </w:r>
          </w:p>
          <w:p>
            <w:pPr>
              <w:jc w:val="center"/>
            </w:pPr>
            <w:r>
              <w:rPr>
                <w:rFonts w:ascii="Trirong" w:cs="Trirong" w:eastAsia="Trirong" w:hAnsi="Trirong"/>
                <w:b/>
                <w:bCs/>
                <w:color w:val="FFFFFF"/>
                <w:sz w:val="28"/>
                <w:szCs w:val="28"/>
              </w:rPr>
              <w:t xml:space="preserve">~2,500</w:t>
            </w:r>
          </w:p>
        </w:tc>
        <w:tc>
          <w:tcPr>
            <w:tcW w:type="dxa" w:w="3120"/>
            <w:tcBorders>
              <w:top w:val="none"/>
              <w:left w:val="none"/>
              <w:bottom w:val="none"/>
              <w:right w:val="none"/>
            </w:tcBorders>
            <w:shd w:fill="2A4E64" w:val="clear"/>
            <w:tcMar>
              <w:top w:type="dxa" w:w="160"/>
              <w:left w:type="dxa" w:w="200"/>
              <w:bottom w:type="dxa" w:w="160"/>
              <w:right w:type="dxa" w:w="200"/>
            </w:tcMar>
          </w:tcPr>
          <w:p>
            <w:pPr>
              <w:jc w:val="center"/>
            </w:pPr>
            <w:r>
              <w:rPr>
                <w:rFonts w:ascii="Lato" w:cs="Lato" w:eastAsia="Lato" w:hAnsi="Lato"/>
                <w:color w:val="ADCF91"/>
                <w:sz w:val="18"/>
                <w:szCs w:val="18"/>
              </w:rPr>
              <w:t xml:space="preserve">Page Type</w:t>
            </w:r>
          </w:p>
          <w:p>
            <w:pPr>
              <w:jc w:val="center"/>
            </w:pPr>
            <w:r>
              <w:rPr>
                <w:rFonts w:ascii="Trirong" w:cs="Trirong" w:eastAsia="Trirong" w:hAnsi="Trirong"/>
                <w:b/>
                <w:bCs/>
                <w:color w:val="FFFFFF"/>
                <w:sz w:val="28"/>
                <w:szCs w:val="28"/>
              </w:rPr>
              <w:t xml:space="preserve">About Page</w:t>
            </w:r>
          </w:p>
        </w:tc>
        <w:tc>
          <w:tcPr>
            <w:tcW w:type="dxa" w:w="3120"/>
            <w:tcBorders>
              <w:top w:val="none"/>
              <w:left w:val="none"/>
              <w:bottom w:val="none"/>
              <w:right w:val="none"/>
            </w:tcBorders>
            <w:shd w:fill="ED835E" w:val="clear"/>
            <w:tcMar>
              <w:top w:type="dxa" w:w="160"/>
              <w:left w:type="dxa" w:w="200"/>
              <w:bottom w:type="dxa" w:w="160"/>
              <w:right w:type="dxa" w:w="200"/>
            </w:tcMar>
          </w:tcPr>
          <w:p>
            <w:pPr>
              <w:jc w:val="center"/>
            </w:pPr>
            <w:r>
              <w:rPr>
                <w:rFonts w:ascii="Lato" w:cs="Lato" w:eastAsia="Lato" w:hAnsi="Lato"/>
                <w:color w:val="FFFFFF"/>
                <w:sz w:val="18"/>
                <w:szCs w:val="18"/>
              </w:rPr>
              <w:t xml:space="preserve">Priority</w:t>
            </w:r>
          </w:p>
          <w:p>
            <w:pPr>
              <w:jc w:val="center"/>
            </w:pPr>
            <w:r>
              <w:rPr>
                <w:rFonts w:ascii="Trirong" w:cs="Trirong" w:eastAsia="Trirong" w:hAnsi="Trirong"/>
                <w:b/>
                <w:bCs/>
                <w:color w:val="FFFFFF"/>
                <w:sz w:val="28"/>
                <w:szCs w:val="28"/>
              </w:rPr>
              <w:t xml:space="preserve">P1</w:t>
            </w:r>
          </w:p>
        </w:tc>
      </w:tr>
    </w:tbl>
    <w:p>
      <w:pPr>
        <w:sectPr>
          <w:pgSz w:w="12240" w:h="15840" w:orient="portrait"/>
          <w:pgMar w:top="1440" w:right="1440" w:bottom="1440" w:left="1440" w:header="708" w:footer="708" w:gutter="0"/>
          <w:pgNumType/>
          <w:docGrid w:linePitch="360"/>
        </w:sectPr>
      </w:pPr>
    </w:p>
    <w:p>
      <w:pPr>
        <w:pStyle w:val="Heading1"/>
        <w:spacing w:after="200" w:before="360"/>
      </w:pPr>
      <w:r>
        <w:rPr>
          <w:rFonts w:ascii="Trirong" w:cs="Trirong" w:eastAsia="Trirong" w:hAnsi="Trirong"/>
          <w:b/>
          <w:bCs/>
          <w:color w:val="23555A"/>
          <w:sz w:val="36"/>
          <w:szCs w:val="36"/>
        </w:rPr>
        <w:t xml:space="preserve">Built by Engineers. Driven by Precision. Based in Monterrey.</w:t>
      </w:r>
    </w:p>
    <w:p>
      <w:pPr>
        <w:spacing w:after="160" w:line="320"/>
      </w:pPr>
      <w:r>
        <w:rPr>
          <w:rFonts w:ascii="Lato" w:cs="Lato" w:eastAsia="Lato" w:hAnsi="Lato"/>
          <w:color w:val="333333"/>
          <w:sz w:val="22"/>
          <w:szCs w:val="22"/>
        </w:rPr>
        <w:t xml:space="preserve">Global Precision Works (GPW) was founded on a single observation: U.S. OEMs need a nearshore assembly partner that understands complex electromechanical builds — not just circuit boards.</w:t>
      </w:r>
    </w:p>
    <w:p>
      <w:pPr>
        <w:spacing w:after="160" w:line="320"/>
      </w:pPr>
      <w:r>
        <w:rPr>
          <w:rFonts w:ascii="Lato" w:cs="Lato" w:eastAsia="Lato" w:hAnsi="Lato"/>
          <w:color w:val="333333"/>
          <w:sz w:val="22"/>
          <w:szCs w:val="22"/>
        </w:rPr>
        <w:t xml:space="preserve">The electromechanical assembly market has a gap. On one side, mega-tier EMS providers prioritize high-volume board-level production — and mid-market OEMs sit at the bottom of their priority list.</w:t>
      </w:r>
    </w:p>
    <w:p>
      <w:pPr>
        <w:spacing w:after="160" w:line="320"/>
      </w:pPr>
      <w:r>
        <w:rPr>
          <w:rFonts w:ascii="Lato" w:cs="Lato" w:eastAsia="Lato" w:hAnsi="Lato"/>
          <w:color w:val="333333"/>
          <w:sz w:val="22"/>
          <w:szCs w:val="22"/>
        </w:rPr>
        <w:t xml:space="preserve">On the other, domestic U.S. assemblers charge 2-3x more and struggle to scale. In between, there is no partner purpose-built for the complex, multi-industry assembly work that today’s OEMs demand.</w:t>
      </w:r>
    </w:p>
    <w:p>
      <w:pPr>
        <w:spacing w:after="160" w:line="320"/>
      </w:pPr>
      <w:r>
        <w:rPr>
          <w:rFonts w:ascii="Lato" w:cs="Lato" w:eastAsia="Lato" w:hAnsi="Lato"/>
          <w:color w:val="333333"/>
          <w:sz w:val="22"/>
          <w:szCs w:val="22"/>
        </w:rPr>
        <w:t xml:space="preserve">GPW exists to close that gap.</w:t>
      </w:r>
    </w:p>
    <w:p>
      <w:pPr>
        <w:spacing w:after="160" w:line="320"/>
      </w:pPr>
      <w:r>
        <w:rPr>
          <w:rFonts w:ascii="Lato" w:cs="Lato" w:eastAsia="Lato" w:hAnsi="Lato"/>
          <w:color w:val="333333"/>
          <w:sz w:val="22"/>
          <w:szCs w:val="22"/>
        </w:rPr>
        <w:t xml:space="preserve">Founded by a team with hands-on experience in industrial manufacturing and assembly operations, GPW was engineered from day one around a specific kind of work: integrating mechanical structures, electrical components, cabling, and testing into complete products — across industries, at scale, under one roof.</w:t>
      </w:r>
    </w:p>
    <w:p>
      <w:pPr>
        <w:spacing w:after="160" w:line="320"/>
      </w:pPr>
      <w:r>
        <w:rPr>
          <w:rFonts w:ascii="Lato" w:cs="Lato" w:eastAsia="Lato" w:hAnsi="Lato"/>
          <w:color w:val="333333"/>
          <w:sz w:val="22"/>
          <w:szCs w:val="22"/>
        </w:rPr>
        <w:t xml:space="preserve">That scope is intentional. Many EMS providers define themselves by what they fabricate — PCBAs, flex circuits, semiconductor packages. GPW defines itself by what it assembles: complete systems that combine mechanical enclosures, electronic components, cable harnesses, thermal management, and firmware into products that ship directly to end customers. This assembly-first focus means every process, every hire, and every piece of equipment serves one purpose — building your product to spec, on time, with full traceability.</w:t>
      </w:r>
    </w:p>
    <w:p>
      <w:pPr>
        <w:spacing w:after="160" w:line="320"/>
      </w:pPr>
      <w:r>
        <w:rPr>
          <w:rFonts w:ascii="Lato" w:cs="Lato" w:eastAsia="Lato" w:hAnsi="Lato"/>
          <w:color w:val="333333"/>
          <w:sz w:val="22"/>
          <w:szCs w:val="22"/>
        </w:rPr>
        <w:t xml:space="preserve">We chose Monterrey because it is the right location for this work. Two hours from the U.S. border by road. Direct flights to Austin, Dallas, Phoenix, and San Jose. Same timezone as Central U.S. And home to one of the deepest manufacturing talent pools in the Americas.</w:t>
      </w:r>
    </w:p>
    <w:p>
      <w:pPr>
        <w:spacing w:after="160" w:line="320"/>
      </w:pPr>
      <w:r>
        <w:rPr>
          <w:rFonts w:ascii="Lato" w:cs="Lato" w:eastAsia="Lato" w:hAnsi="Lato"/>
          <w:color w:val="333333"/>
          <w:sz w:val="22"/>
          <w:szCs w:val="22"/>
        </w:rPr>
        <w:t xml:space="preserve">The pattern we saw was consistent across industries. OEMs building AI server racks, telecom cabinets, medical equipment, and industrial controls all faced the same problem: their assembly partner either treated them as a small fish in a massive PCBA operation or charged domestic U.S. rates that eroded their margins.</w:t>
      </w:r>
    </w:p>
    <w:p>
      <w:pPr>
        <w:spacing w:after="160" w:line="320"/>
      </w:pPr>
      <w:r>
        <w:rPr>
          <w:rFonts w:ascii="Lato" w:cs="Lato" w:eastAsia="Lato" w:hAnsi="Lato"/>
          <w:color w:val="333333"/>
          <w:sz w:val="22"/>
          <w:szCs w:val="22"/>
        </w:rPr>
        <w:t xml:space="preserve">Every decision at GPW — from facility layout to hiring to quality systems — was made with one question in mind: does this help us build complex assemblies with more precision, speed, and transparency than any other option our customers have? That question still drives every process we implement and every program we take on.</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Assembly-First. Customer-Driven. Quality-Obsessed.</w:t>
      </w:r>
    </w:p>
    <w:p>
      <w:pPr>
        <w:spacing w:after="160" w:line="320"/>
      </w:pPr>
      <w:r>
        <w:rPr>
          <w:rFonts w:ascii="Lato" w:cs="Lato" w:eastAsia="Lato" w:hAnsi="Lato"/>
          <w:color w:val="333333"/>
          <w:sz w:val="22"/>
          <w:szCs w:val="22"/>
        </w:rPr>
        <w:t xml:space="preserve">GPW is an assembly-first manufacturer. We do not fabricate PCBAs. We do not run high-speed SMT lines. What we do is take your bill of materials — the chassis, the boards, the connectors, the cables, the fasteners, the firmware — and assemble it into a finished product that ships to your dock tested and ready for deployment. [Link: /electromechanical-assembly/services/]</w:t>
      </w:r>
    </w:p>
    <w:p>
      <w:pPr>
        <w:spacing w:after="160" w:line="320"/>
      </w:pPr>
      <w:r>
        <w:rPr>
          <w:rFonts w:ascii="Lato" w:cs="Lato" w:eastAsia="Lato" w:hAnsi="Lato"/>
          <w:color w:val="333333"/>
          <w:sz w:val="22"/>
          <w:szCs w:val="22"/>
        </w:rPr>
        <w:t xml:space="preserve">This focus shapes everything. Our engineering team reviews every design for manufacturability before production begins. Our operators are cross-trained across mechanical, electrical, and cabling disciplines. Our quality systems enforce inspection gates at every station — not just at the end of the line.</w:t>
      </w:r>
    </w:p>
    <w:p>
      <w:pPr>
        <w:spacing w:after="160" w:line="320"/>
      </w:pPr>
      <w:r>
        <w:rPr>
          <w:rFonts w:ascii="Lato" w:cs="Lato" w:eastAsia="Lato" w:hAnsi="Lato"/>
          <w:color w:val="333333"/>
          <w:sz w:val="22"/>
          <w:szCs w:val="22"/>
        </w:rPr>
        <w:t xml:space="preserve">The result: fewer handoff errors, faster NPI, and a single point of accountability from quote to delivery.</w:t>
      </w:r>
    </w:p>
    <w:p>
      <w:pPr>
        <w:spacing w:after="160" w:line="320"/>
      </w:pPr>
      <w:r>
        <w:rPr>
          <w:rFonts w:ascii="Lato" w:cs="Lato" w:eastAsia="Lato" w:hAnsi="Lato"/>
          <w:color w:val="333333"/>
          <w:sz w:val="22"/>
          <w:szCs w:val="22"/>
        </w:rPr>
        <w:t xml:space="preserve">GPW’s mission is to become the most reliable nearshore electromechanical assembly partner for U.S. OEMs — measured not by the number of units shipped, but by the number of customers who come back for their next program.</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Monterrey Facility — Engineered for Multi-Industry Assembly</w:t>
      </w:r>
    </w:p>
    <w:p>
      <w:pPr>
        <w:spacing w:after="160" w:line="320"/>
      </w:pPr>
      <w:r>
        <w:rPr>
          <w:rFonts w:ascii="Lato" w:cs="Lato" w:eastAsia="Lato" w:hAnsi="Lato"/>
          <w:color w:val="333333"/>
          <w:sz w:val="22"/>
          <w:szCs w:val="22"/>
        </w:rPr>
        <w:t xml:space="preserve">GPW operates from Monterrey, Nuevo León, Mexico — the industrial capital of Latin America. We designed the facility from the ground up for electromechanical assembly across multiple product types and industries.</w:t>
      </w:r>
    </w:p>
    <w:p>
      <w:pPr>
        <w:spacing w:after="100" w:before="200"/>
      </w:pPr>
      <w:r>
        <w:rPr>
          <w:rFonts w:ascii="Lato" w:cs="Lato" w:eastAsia="Lato" w:hAnsi="Lato"/>
          <w:b/>
          <w:bCs/>
          <w:color w:val="23555A"/>
          <w:sz w:val="24"/>
          <w:szCs w:val="24"/>
        </w:rPr>
        <w:t xml:space="preserve">Facility Highlights</w:t>
      </w:r>
    </w:p>
    <w:p>
      <w:pPr>
        <w:pStyle w:val="ListParagraph"/>
        <w:numPr>
          <w:ilvl w:val="0"/>
          <w:numId w:val="2"/>
        </w:numPr>
        <w:spacing w:after="100"/>
      </w:pPr>
      <w:r>
        <w:rPr>
          <w:rFonts w:ascii="Lato" w:cs="Lato" w:eastAsia="Lato" w:hAnsi="Lato"/>
          <w:b/>
          <w:bCs/>
          <w:color w:val="23555A"/>
          <w:sz w:val="22"/>
          <w:szCs w:val="22"/>
        </w:rPr>
        <w:t xml:space="preserve">Location: </w:t>
      </w:r>
      <w:r>
        <w:rPr>
          <w:rFonts w:ascii="Lato" w:cs="Lato" w:eastAsia="Lato" w:hAnsi="Lato"/>
          <w:color w:val="333333"/>
          <w:sz w:val="22"/>
          <w:szCs w:val="22"/>
        </w:rPr>
        <w:t xml:space="preserve">Monterrey, Nuevo León — 150 miles from the U.S. border, 2 hours by road. Direct flights from Austin, Dallas, Phoenix, and San Jose.</w:t>
      </w:r>
    </w:p>
    <w:p>
      <w:pPr>
        <w:pStyle w:val="ListParagraph"/>
        <w:numPr>
          <w:ilvl w:val="0"/>
          <w:numId w:val="2"/>
        </w:numPr>
        <w:spacing w:after="100"/>
      </w:pPr>
      <w:r>
        <w:rPr>
          <w:rFonts w:ascii="Lato" w:cs="Lato" w:eastAsia="Lato" w:hAnsi="Lato"/>
          <w:b/>
          <w:bCs/>
          <w:color w:val="23555A"/>
          <w:sz w:val="22"/>
          <w:szCs w:val="22"/>
        </w:rPr>
        <w:t xml:space="preserve">Production Area: </w:t>
      </w:r>
      <w:r>
        <w:rPr>
          <w:rFonts w:ascii="Lato" w:cs="Lato" w:eastAsia="Lato" w:hAnsi="Lato"/>
          <w:color w:val="333333"/>
          <w:sz w:val="22"/>
          <w:szCs w:val="22"/>
        </w:rPr>
        <w:t xml:space="preserve">Multi-line assembly floor configured for parallel programs across different industries and product types.</w:t>
      </w:r>
    </w:p>
    <w:p>
      <w:pPr>
        <w:pStyle w:val="ListParagraph"/>
        <w:numPr>
          <w:ilvl w:val="0"/>
          <w:numId w:val="2"/>
        </w:numPr>
        <w:spacing w:after="100"/>
      </w:pPr>
      <w:r>
        <w:rPr>
          <w:rFonts w:ascii="Lato" w:cs="Lato" w:eastAsia="Lato" w:hAnsi="Lato"/>
          <w:b/>
          <w:bCs/>
          <w:color w:val="23555A"/>
          <w:sz w:val="22"/>
          <w:szCs w:val="22"/>
        </w:rPr>
        <w:t xml:space="preserve">Assembly Stations: </w:t>
      </w:r>
      <w:r>
        <w:rPr>
          <w:rFonts w:ascii="Lato" w:cs="Lato" w:eastAsia="Lato" w:hAnsi="Lato"/>
          <w:color w:val="333333"/>
          <w:sz w:val="22"/>
          <w:szCs w:val="22"/>
        </w:rPr>
        <w:t xml:space="preserve">Dedicated workstations for mechanical assembly, electrical integration, cable routing, component mounting, and system testing.</w:t>
      </w:r>
    </w:p>
    <w:p>
      <w:pPr>
        <w:pStyle w:val="ListParagraph"/>
        <w:numPr>
          <w:ilvl w:val="0"/>
          <w:numId w:val="2"/>
        </w:numPr>
        <w:spacing w:after="100"/>
      </w:pPr>
      <w:r>
        <w:rPr>
          <w:rFonts w:ascii="Lato" w:cs="Lato" w:eastAsia="Lato" w:hAnsi="Lato"/>
          <w:b/>
          <w:bCs/>
          <w:color w:val="23555A"/>
          <w:sz w:val="22"/>
          <w:szCs w:val="22"/>
        </w:rPr>
        <w:t xml:space="preserve">Testing Infrastructure: </w:t>
      </w:r>
      <w:r>
        <w:rPr>
          <w:rFonts w:ascii="Lato" w:cs="Lato" w:eastAsia="Lato" w:hAnsi="Lato"/>
          <w:color w:val="333333"/>
          <w:sz w:val="22"/>
          <w:szCs w:val="22"/>
        </w:rPr>
        <w:t xml:space="preserve">End-of-line functional testing, burn-in stations, and Hi-Pot testing capability.</w:t>
      </w:r>
    </w:p>
    <w:p>
      <w:pPr>
        <w:pStyle w:val="ListParagraph"/>
        <w:numPr>
          <w:ilvl w:val="0"/>
          <w:numId w:val="2"/>
        </w:numPr>
        <w:spacing w:after="100"/>
      </w:pPr>
      <w:r>
        <w:rPr>
          <w:rFonts w:ascii="Lato" w:cs="Lato" w:eastAsia="Lato" w:hAnsi="Lato"/>
          <w:b/>
          <w:bCs/>
          <w:color w:val="23555A"/>
          <w:sz w:val="22"/>
          <w:szCs w:val="22"/>
        </w:rPr>
        <w:t xml:space="preserve">ESD Protection: </w:t>
      </w:r>
      <w:r>
        <w:rPr>
          <w:rFonts w:ascii="Lato" w:cs="Lato" w:eastAsia="Lato" w:hAnsi="Lato"/>
          <w:color w:val="333333"/>
          <w:sz w:val="22"/>
          <w:szCs w:val="22"/>
        </w:rPr>
        <w:t xml:space="preserve">Full ESD-controlled environment across production and staging areas.</w:t>
      </w:r>
    </w:p>
    <w:p>
      <w:pPr>
        <w:pStyle w:val="ListParagraph"/>
        <w:numPr>
          <w:ilvl w:val="0"/>
          <w:numId w:val="2"/>
        </w:numPr>
        <w:spacing w:after="100"/>
      </w:pPr>
      <w:r>
        <w:rPr>
          <w:rFonts w:ascii="Lato" w:cs="Lato" w:eastAsia="Lato" w:hAnsi="Lato"/>
          <w:b/>
          <w:bCs/>
          <w:color w:val="23555A"/>
          <w:sz w:val="22"/>
          <w:szCs w:val="22"/>
        </w:rPr>
        <w:t xml:space="preserve">Shipping &amp; Logistics: </w:t>
      </w:r>
      <w:r>
        <w:rPr>
          <w:rFonts w:ascii="Lato" w:cs="Lato" w:eastAsia="Lato" w:hAnsi="Lato"/>
          <w:color w:val="333333"/>
          <w:sz w:val="22"/>
          <w:szCs w:val="22"/>
        </w:rPr>
        <w:t xml:space="preserve">Cross-border logistics coordination with ground shipment to U.S. destinations within 1-3 days.</w:t>
      </w:r>
    </w:p>
    <w:p>
      <w:pPr>
        <w:pStyle w:val="ListParagraph"/>
        <w:numPr>
          <w:ilvl w:val="0"/>
          <w:numId w:val="2"/>
        </w:numPr>
        <w:spacing w:after="100"/>
      </w:pPr>
      <w:r>
        <w:rPr>
          <w:rFonts w:ascii="Lato" w:cs="Lato" w:eastAsia="Lato" w:hAnsi="Lato"/>
          <w:b/>
          <w:bCs/>
          <w:color w:val="23555A"/>
          <w:sz w:val="22"/>
          <w:szCs w:val="22"/>
        </w:rPr>
        <w:t xml:space="preserve">Quality Infrastructure: </w:t>
      </w:r>
      <w:r>
        <w:rPr>
          <w:rFonts w:ascii="Lato" w:cs="Lato" w:eastAsia="Lato" w:hAnsi="Lato"/>
          <w:color w:val="333333"/>
          <w:sz w:val="22"/>
          <w:szCs w:val="22"/>
        </w:rPr>
        <w:t xml:space="preserve">Dedicated inspection stations with calibrated measurement equipment, first article inspection areas, and documented quality checkpoints integrated into every production line.</w:t>
      </w:r>
    </w:p>
    <w:p>
      <w:pPr>
        <w:spacing w:after="160" w:line="320"/>
      </w:pPr>
      <w:r>
        <w:rPr>
          <w:rFonts w:ascii="Lato" w:cs="Lato" w:eastAsia="Lato" w:hAnsi="Lato"/>
          <w:color w:val="333333"/>
          <w:sz w:val="22"/>
          <w:szCs w:val="22"/>
        </w:rPr>
        <w:t xml:space="preserve">Every production line operates under the same quality framework — regardless of whether the product is an AI server rack, a telecom cabinet, or a medical device enclosure. We designed the facility for flexibility without sacrificing control.</w:t>
      </w:r>
    </w:p>
    <w:p>
      <w:pPr>
        <w:spacing w:after="100" w:before="200"/>
      </w:pPr>
      <w:r>
        <w:rPr>
          <w:rFonts w:ascii="Lato" w:cs="Lato" w:eastAsia="Lato" w:hAnsi="Lato"/>
          <w:b/>
          <w:bCs/>
          <w:color w:val="23555A"/>
          <w:sz w:val="24"/>
          <w:szCs w:val="24"/>
        </w:rPr>
        <w:t xml:space="preserve">Operational Model</w:t>
      </w:r>
    </w:p>
    <w:p>
      <w:pPr>
        <w:spacing w:after="160" w:line="320"/>
      </w:pPr>
      <w:r>
        <w:rPr>
          <w:rFonts w:ascii="Lato" w:cs="Lato" w:eastAsia="Lato" w:hAnsi="Lato"/>
          <w:color w:val="333333"/>
          <w:sz w:val="22"/>
          <w:szCs w:val="22"/>
        </w:rPr>
        <w:t xml:space="preserve">GPW runs parallel production programs across multiple industries simultaneously. Each program operates on its own assembly line with dedicated workstations, tooling, and quality documentation. This separation prevents cross-contamination between programs while allowing shared infrastructure — testing equipment, materials staging, and logistics coordination — to keep overhead efficient.</w:t>
      </w:r>
    </w:p>
    <w:p>
      <w:pPr>
        <w:spacing w:after="160" w:line="320"/>
      </w:pPr>
      <w:r>
        <w:rPr>
          <w:rFonts w:ascii="Lato" w:cs="Lato" w:eastAsia="Lato" w:hAnsi="Lato"/>
          <w:color w:val="333333"/>
          <w:sz w:val="22"/>
          <w:szCs w:val="22"/>
        </w:rPr>
        <w:t xml:space="preserve">Production capacity scales through additional shifts, line expansion, and strategic facility growth as demand requires. Your program maintains the same quality systems, the same engineering oversight, and the same accountability chain — from pilot build through sustained production.</w:t>
      </w:r>
    </w:p>
    <w:p>
      <w:pPr>
        <w:spacing w:after="80" w:before="200"/>
        <w:jc w:val="center"/>
      </w:pPr>
      <w:r>
        <w:rPr>
          <w:rFonts w:ascii="Lato" w:cs="Lato" w:eastAsia="Lato" w:hAnsi="Lato"/>
          <w:b/>
          <w:bCs/>
          <w:color w:val="FFFFFF"/>
          <w:sz w:val="24"/>
          <w:szCs w:val="24"/>
        </w:rPr>
        <w:t xml:space="preserve">[ Schedule a Facility Tour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none"/>
              <w:left w:val="none"/>
              <w:bottom w:val="none"/>
              <w:right w:val="none"/>
            </w:tcBorders>
            <w:shd w:fill="23555A" w:val="clear"/>
            <w:tcMar>
              <w:top w:type="dxa" w:w="120"/>
              <w:left w:type="dxa" w:w="200"/>
              <w:bottom w:type="dxa" w:w="120"/>
              <w:right w:type="dxa" w:w="200"/>
            </w:tcMar>
          </w:tcPr>
          <w:p>
            <w:pPr>
              <w:jc w:val="center"/>
            </w:pPr>
            <w:r>
              <w:rPr>
                <w:rFonts w:ascii="Lato" w:cs="Lato" w:eastAsia="Lato" w:hAnsi="Lato"/>
                <w:b/>
                <w:bCs/>
                <w:color w:val="FFFFFF"/>
                <w:sz w:val="24"/>
                <w:szCs w:val="24"/>
              </w:rPr>
              <w:t xml:space="preserve">Schedule a Facility Tour</w:t>
            </w:r>
          </w:p>
        </w:tc>
      </w:tr>
    </w:tbl>
    <w:p>
      <w:pPr>
        <w:spacing w:after="200"/>
        <w:jc w:val="center"/>
      </w:pPr>
      <w:r>
        <w:rPr>
          <w:rFonts w:ascii="Lato" w:cs="Lato" w:eastAsia="Lato" w:hAnsi="Lato"/>
          <w:i/>
          <w:iCs/>
          <w:color w:val="666666"/>
          <w:sz w:val="20"/>
          <w:szCs w:val="20"/>
        </w:rPr>
        <w:t xml:space="preserve">Monterrey is a 2-hour flight from most major U.S. cities. Come see the production floor and meet the team.</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Engineering-Driven from the First Conversation</w:t>
      </w:r>
    </w:p>
    <w:p>
      <w:pPr>
        <w:spacing w:after="160" w:line="320"/>
      </w:pPr>
      <w:r>
        <w:rPr>
          <w:rFonts w:ascii="Lato" w:cs="Lato" w:eastAsia="Lato" w:hAnsi="Lato"/>
          <w:color w:val="333333"/>
          <w:sz w:val="22"/>
          <w:szCs w:val="22"/>
        </w:rPr>
        <w:t xml:space="preserve">At GPW, your first conversation is with an engineer — not a sales representative. We structured our team around one principle: the people who understand the build should be the people who scope, quote, and manage the program.</w:t>
      </w:r>
    </w:p>
    <w:p>
      <w:pPr>
        <w:pStyle w:val="ListParagraph"/>
        <w:numPr>
          <w:ilvl w:val="0"/>
          <w:numId w:val="3"/>
        </w:numPr>
        <w:spacing w:after="100"/>
      </w:pPr>
      <w:r>
        <w:rPr>
          <w:rFonts w:ascii="Lato" w:cs="Lato" w:eastAsia="Lato" w:hAnsi="Lato"/>
          <w:b/>
          <w:bCs/>
          <w:color w:val="23555A"/>
          <w:sz w:val="22"/>
          <w:szCs w:val="22"/>
        </w:rPr>
        <w:t xml:space="preserve">Dedicated Program Managers: </w:t>
      </w:r>
      <w:r>
        <w:rPr>
          <w:rFonts w:ascii="Lato" w:cs="Lato" w:eastAsia="Lato" w:hAnsi="Lato"/>
          <w:color w:val="333333"/>
          <w:sz w:val="22"/>
          <w:szCs w:val="22"/>
        </w:rPr>
        <w:t xml:space="preserve">Every customer program is assigned a single program manager — your primary point of contact from RFQ to delivery.</w:t>
      </w:r>
    </w:p>
    <w:p>
      <w:pPr>
        <w:pStyle w:val="ListParagraph"/>
        <w:numPr>
          <w:ilvl w:val="0"/>
          <w:numId w:val="3"/>
        </w:numPr>
        <w:spacing w:after="100"/>
      </w:pPr>
      <w:r>
        <w:rPr>
          <w:rFonts w:ascii="Lato" w:cs="Lato" w:eastAsia="Lato" w:hAnsi="Lato"/>
          <w:b/>
          <w:bCs/>
          <w:color w:val="23555A"/>
          <w:sz w:val="22"/>
          <w:szCs w:val="22"/>
        </w:rPr>
        <w:t xml:space="preserve">Engineering-First Quoting: </w:t>
      </w:r>
      <w:r>
        <w:rPr>
          <w:rFonts w:ascii="Lato" w:cs="Lato" w:eastAsia="Lato" w:hAnsi="Lato"/>
          <w:color w:val="333333"/>
          <w:sz w:val="22"/>
          <w:szCs w:val="22"/>
        </w:rPr>
        <w:t xml:space="preserve">Our engineering team reviews every RFQ for technical feasibility and DFM considerations before generating a quote.</w:t>
      </w:r>
    </w:p>
    <w:p>
      <w:pPr>
        <w:pStyle w:val="ListParagraph"/>
        <w:numPr>
          <w:ilvl w:val="0"/>
          <w:numId w:val="3"/>
        </w:numPr>
        <w:spacing w:after="100"/>
      </w:pPr>
      <w:r>
        <w:rPr>
          <w:rFonts w:ascii="Lato" w:cs="Lato" w:eastAsia="Lato" w:hAnsi="Lato"/>
          <w:b/>
          <w:bCs/>
          <w:color w:val="23555A"/>
          <w:sz w:val="22"/>
          <w:szCs w:val="22"/>
        </w:rPr>
        <w:t xml:space="preserve">Cross-Trained Operators: </w:t>
      </w:r>
      <w:r>
        <w:rPr>
          <w:rFonts w:ascii="Lato" w:cs="Lato" w:eastAsia="Lato" w:hAnsi="Lato"/>
          <w:color w:val="333333"/>
          <w:sz w:val="22"/>
          <w:szCs w:val="22"/>
        </w:rPr>
        <w:t xml:space="preserve">Production operators are trained across mechanical, electrical, and cabling disciplines.</w:t>
      </w:r>
    </w:p>
    <w:p>
      <w:pPr>
        <w:pStyle w:val="ListParagraph"/>
        <w:numPr>
          <w:ilvl w:val="0"/>
          <w:numId w:val="3"/>
        </w:numPr>
        <w:spacing w:after="100"/>
      </w:pPr>
      <w:r>
        <w:rPr>
          <w:rFonts w:ascii="Lato" w:cs="Lato" w:eastAsia="Lato" w:hAnsi="Lato"/>
          <w:b/>
          <w:bCs/>
          <w:color w:val="23555A"/>
          <w:sz w:val="22"/>
          <w:szCs w:val="22"/>
        </w:rPr>
        <w:t xml:space="preserve">Quality Team Integration: </w:t>
      </w:r>
      <w:r>
        <w:rPr>
          <w:rFonts w:ascii="Lato" w:cs="Lato" w:eastAsia="Lato" w:hAnsi="Lato"/>
          <w:color w:val="333333"/>
          <w:sz w:val="22"/>
          <w:szCs w:val="22"/>
        </w:rPr>
        <w:t xml:space="preserve">Quality engineers participate from the DFM review stage — not just at end-of-line inspection.</w:t>
      </w:r>
    </w:p>
    <w:p>
      <w:pPr>
        <w:spacing w:after="160" w:line="320"/>
      </w:pPr>
      <w:r>
        <w:rPr>
          <w:rFonts w:ascii="Lato" w:cs="Lato" w:eastAsia="Lato" w:hAnsi="Lato"/>
          <w:color w:val="333333"/>
          <w:sz w:val="22"/>
          <w:szCs w:val="22"/>
        </w:rPr>
        <w:t xml:space="preserve">GPW’s culture is rooted in engineering discipline. We hire people who think in tolerances, processes, and root cause analysis — because that is what complex electromechanical assembly demands.</w:t>
      </w:r>
    </w:p>
    <w:p>
      <w:pPr>
        <w:spacing w:after="100" w:before="200"/>
      </w:pPr>
      <w:r>
        <w:rPr>
          <w:rFonts w:ascii="Lato" w:cs="Lato" w:eastAsia="Lato" w:hAnsi="Lato"/>
          <w:b/>
          <w:bCs/>
          <w:color w:val="23555A"/>
          <w:sz w:val="24"/>
          <w:szCs w:val="24"/>
        </w:rPr>
        <w:t xml:space="preserve">Continuous Development</w:t>
      </w:r>
    </w:p>
    <w:p>
      <w:pPr>
        <w:spacing w:after="160" w:line="320"/>
      </w:pPr>
      <w:r>
        <w:rPr>
          <w:rFonts w:ascii="Lato" w:cs="Lato" w:eastAsia="Lato" w:hAnsi="Lato"/>
          <w:color w:val="333333"/>
          <w:sz w:val="22"/>
          <w:szCs w:val="22"/>
        </w:rPr>
        <w:t xml:space="preserve">Every operator completes a structured training program before joining a production line — covering IPC workmanship standards, ESD handling procedures, and safety protocols. Cross-training is ongoing: mechanical assembly operators learn cabling techniques, and cable assemblers train on testing procedures. This investment in cross-functional capability means GPW can staff complex multi-stage builds without relying on external subcontractors.</w:t>
      </w:r>
    </w:p>
    <w:p>
      <w:pPr>
        <w:spacing w:after="160" w:line="320"/>
      </w:pPr>
      <w:r>
        <w:rPr>
          <w:rFonts w:ascii="Lato" w:cs="Lato" w:eastAsia="Lato" w:hAnsi="Lato"/>
          <w:color w:val="333333"/>
          <w:sz w:val="22"/>
          <w:szCs w:val="22"/>
        </w:rPr>
        <w:t xml:space="preserve">When you visit the facility, you will meet the people who actually build your product. At GPW, the engineering team that quoted your program is the same team that manages production — no handoff gaps, no lost context between departments.</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Quality Systems Built for OEM Standards</w:t>
      </w:r>
    </w:p>
    <w:p>
      <w:pPr>
        <w:spacing w:after="160" w:line="320"/>
      </w:pPr>
      <w:r>
        <w:rPr>
          <w:rFonts w:ascii="Lato" w:cs="Lato" w:eastAsia="Lato" w:hAnsi="Lato"/>
          <w:color w:val="333333"/>
          <w:sz w:val="22"/>
          <w:szCs w:val="22"/>
        </w:rPr>
        <w:t xml:space="preserve">GPW’s quality philosophy is straightforward: inspect at every stage, document every step, and trace every component. We apply the same rigor whether the product is a prototype run of 10 units or a sustained production program of 10,000+ units per month.</w:t>
      </w:r>
    </w:p>
    <w:p>
      <w:pPr>
        <w:spacing w:after="100" w:before="200"/>
      </w:pPr>
      <w:r>
        <w:rPr>
          <w:rFonts w:ascii="Lato" w:cs="Lato" w:eastAsia="Lato" w:hAnsi="Lato"/>
          <w:b/>
          <w:bCs/>
          <w:color w:val="23555A"/>
          <w:sz w:val="24"/>
          <w:szCs w:val="24"/>
        </w:rPr>
        <w:t xml:space="preserve">Standards &amp; Certifications</w:t>
      </w:r>
    </w:p>
    <w:p>
      <w:pPr>
        <w:pStyle w:val="ListParagraph"/>
        <w:numPr>
          <w:ilvl w:val="0"/>
          <w:numId w:val="4"/>
        </w:numPr>
        <w:spacing w:after="100"/>
      </w:pPr>
      <w:r>
        <w:rPr>
          <w:rFonts w:ascii="Lato" w:cs="Lato" w:eastAsia="Lato" w:hAnsi="Lato"/>
          <w:b/>
          <w:bCs/>
          <w:color w:val="23555A"/>
          <w:sz w:val="22"/>
          <w:szCs w:val="22"/>
        </w:rPr>
        <w:t xml:space="preserve">IPC-A-610: </w:t>
      </w:r>
      <w:r>
        <w:rPr>
          <w:rFonts w:ascii="Lato" w:cs="Lato" w:eastAsia="Lato" w:hAnsi="Lato"/>
          <w:color w:val="333333"/>
          <w:sz w:val="22"/>
          <w:szCs w:val="22"/>
        </w:rPr>
        <w:t xml:space="preserve">Certification in progress. All assembly workmanship follows IPC-A-610 Class 2 and Class 3 criteria.</w:t>
      </w:r>
    </w:p>
    <w:p>
      <w:pPr>
        <w:pStyle w:val="ListParagraph"/>
        <w:numPr>
          <w:ilvl w:val="0"/>
          <w:numId w:val="4"/>
        </w:numPr>
        <w:spacing w:after="100"/>
      </w:pPr>
      <w:r>
        <w:rPr>
          <w:rFonts w:ascii="Lato" w:cs="Lato" w:eastAsia="Lato" w:hAnsi="Lato"/>
          <w:b/>
          <w:bCs/>
          <w:color w:val="23555A"/>
          <w:sz w:val="22"/>
          <w:szCs w:val="22"/>
        </w:rPr>
        <w:t xml:space="preserve">IPC-A-620: </w:t>
      </w:r>
      <w:r>
        <w:rPr>
          <w:rFonts w:ascii="Lato" w:cs="Lato" w:eastAsia="Lato" w:hAnsi="Lato"/>
          <w:color w:val="333333"/>
          <w:sz w:val="22"/>
          <w:szCs w:val="22"/>
        </w:rPr>
        <w:t xml:space="preserve">Certification in progress. Cable assembly processes adhere to IPC-A-620 standards.</w:t>
      </w:r>
    </w:p>
    <w:p>
      <w:pPr>
        <w:pStyle w:val="ListParagraph"/>
        <w:numPr>
          <w:ilvl w:val="0"/>
          <w:numId w:val="4"/>
        </w:numPr>
        <w:spacing w:after="100"/>
      </w:pPr>
      <w:r>
        <w:rPr>
          <w:rFonts w:ascii="Lato" w:cs="Lato" w:eastAsia="Lato" w:hAnsi="Lato"/>
          <w:b/>
          <w:bCs/>
          <w:color w:val="23555A"/>
          <w:sz w:val="22"/>
          <w:szCs w:val="22"/>
        </w:rPr>
        <w:t xml:space="preserve">ISO 9001: </w:t>
      </w:r>
      <w:r>
        <w:rPr>
          <w:rFonts w:ascii="Lato" w:cs="Lato" w:eastAsia="Lato" w:hAnsi="Lato"/>
          <w:color w:val="333333"/>
          <w:sz w:val="22"/>
          <w:szCs w:val="22"/>
        </w:rPr>
        <w:t xml:space="preserve">Pursuing certification. Quality management system designed to ISO 9001 requirements.</w:t>
      </w:r>
    </w:p>
    <w:p>
      <w:pPr>
        <w:pStyle w:val="ListParagraph"/>
        <w:numPr>
          <w:ilvl w:val="0"/>
          <w:numId w:val="4"/>
        </w:numPr>
        <w:spacing w:after="100"/>
      </w:pPr>
      <w:r>
        <w:rPr>
          <w:rFonts w:ascii="Lato" w:cs="Lato" w:eastAsia="Lato" w:hAnsi="Lato"/>
          <w:b/>
          <w:bCs/>
          <w:color w:val="23555A"/>
          <w:sz w:val="22"/>
          <w:szCs w:val="22"/>
        </w:rPr>
        <w:t xml:space="preserve">Industry-Specific: </w:t>
      </w:r>
      <w:r>
        <w:rPr>
          <w:rFonts w:ascii="Lato" w:cs="Lato" w:eastAsia="Lato" w:hAnsi="Lato"/>
          <w:color w:val="333333"/>
          <w:sz w:val="22"/>
          <w:szCs w:val="22"/>
        </w:rPr>
        <w:t xml:space="preserve">Processes support FDA 21 CFR Part 820, AS9100, and IATF 16949 requirements as customer demand requires.</w:t>
      </w:r>
    </w:p>
    <w:p>
      <w:pPr>
        <w:spacing w:after="100" w:before="200"/>
      </w:pPr>
      <w:r>
        <w:rPr>
          <w:rFonts w:ascii="Lato" w:cs="Lato" w:eastAsia="Lato" w:hAnsi="Lato"/>
          <w:b/>
          <w:bCs/>
          <w:color w:val="23555A"/>
          <w:sz w:val="24"/>
          <w:szCs w:val="24"/>
        </w:rPr>
        <w:t xml:space="preserve">Quality in Practice</w:t>
      </w:r>
    </w:p>
    <w:p>
      <w:pPr>
        <w:pStyle w:val="ListParagraph"/>
        <w:numPr>
          <w:ilvl w:val="0"/>
          <w:numId w:val="5"/>
        </w:numPr>
        <w:spacing w:after="80"/>
      </w:pPr>
      <w:r>
        <w:rPr>
          <w:rFonts w:ascii="Lato" w:cs="Lato" w:eastAsia="Lato" w:hAnsi="Lato"/>
          <w:color w:val="333333"/>
          <w:sz w:val="22"/>
          <w:szCs w:val="22"/>
        </w:rPr>
        <w:t xml:space="preserve">First article inspection on every new program before production ramp</w:t>
      </w:r>
    </w:p>
    <w:p>
      <w:pPr>
        <w:pStyle w:val="ListParagraph"/>
        <w:numPr>
          <w:ilvl w:val="0"/>
          <w:numId w:val="5"/>
        </w:numPr>
        <w:spacing w:after="80"/>
      </w:pPr>
      <w:r>
        <w:rPr>
          <w:rFonts w:ascii="Lato" w:cs="Lato" w:eastAsia="Lato" w:hAnsi="Lato"/>
          <w:color w:val="333333"/>
          <w:sz w:val="22"/>
          <w:szCs w:val="22"/>
        </w:rPr>
        <w:t xml:space="preserve">In-process quality gates at critical assembly stations</w:t>
      </w:r>
    </w:p>
    <w:p>
      <w:pPr>
        <w:pStyle w:val="ListParagraph"/>
        <w:numPr>
          <w:ilvl w:val="0"/>
          <w:numId w:val="5"/>
        </w:numPr>
        <w:spacing w:after="80"/>
      </w:pPr>
      <w:r>
        <w:rPr>
          <w:rFonts w:ascii="Lato" w:cs="Lato" w:eastAsia="Lato" w:hAnsi="Lato"/>
          <w:color w:val="333333"/>
          <w:sz w:val="22"/>
          <w:szCs w:val="22"/>
        </w:rPr>
        <w:t xml:space="preserve">End-of-line functional testing with documented pass/fail criteria</w:t>
      </w:r>
    </w:p>
    <w:p>
      <w:pPr>
        <w:pStyle w:val="ListParagraph"/>
        <w:numPr>
          <w:ilvl w:val="0"/>
          <w:numId w:val="5"/>
        </w:numPr>
        <w:spacing w:after="80"/>
      </w:pPr>
      <w:r>
        <w:rPr>
          <w:rFonts w:ascii="Lato" w:cs="Lato" w:eastAsia="Lato" w:hAnsi="Lato"/>
          <w:color w:val="333333"/>
          <w:sz w:val="22"/>
          <w:szCs w:val="22"/>
        </w:rPr>
        <w:t xml:space="preserve">Full BOM-level component traceability from receiving to shipment</w:t>
      </w:r>
    </w:p>
    <w:p>
      <w:pPr>
        <w:pStyle w:val="ListParagraph"/>
        <w:numPr>
          <w:ilvl w:val="0"/>
          <w:numId w:val="5"/>
        </w:numPr>
        <w:spacing w:after="80"/>
      </w:pPr>
      <w:r>
        <w:rPr>
          <w:rFonts w:ascii="Lato" w:cs="Lato" w:eastAsia="Lato" w:hAnsi="Lato"/>
          <w:color w:val="333333"/>
          <w:sz w:val="22"/>
          <w:szCs w:val="22"/>
        </w:rPr>
        <w:t xml:space="preserve">Corrective action and root cause analysis for any non-conformance</w:t>
      </w:r>
    </w:p>
    <w:p>
      <w:pPr>
        <w:spacing w:after="160" w:line="320"/>
      </w:pPr>
      <w:r>
        <w:rPr>
          <w:rFonts w:ascii="Lato" w:cs="Lato" w:eastAsia="Lato" w:hAnsi="Lato"/>
          <w:color w:val="333333"/>
          <w:sz w:val="22"/>
          <w:szCs w:val="22"/>
        </w:rPr>
        <w:t xml:space="preserve">Every quality record is maintained digitally and available for customer audit. We do not wait for a quality issue to build systems — we build the systems before the first unit ships.</w:t>
      </w:r>
    </w:p>
    <w:p>
      <w:pPr>
        <w:spacing w:after="100" w:before="200"/>
      </w:pPr>
      <w:r>
        <w:rPr>
          <w:rFonts w:ascii="Lato" w:cs="Lato" w:eastAsia="Lato" w:hAnsi="Lato"/>
          <w:b/>
          <w:bCs/>
          <w:color w:val="23555A"/>
          <w:sz w:val="24"/>
          <w:szCs w:val="24"/>
        </w:rPr>
        <w:t xml:space="preserve">Customer Audit Support</w:t>
      </w:r>
    </w:p>
    <w:p>
      <w:pPr>
        <w:spacing w:after="160" w:line="320"/>
      </w:pPr>
      <w:r>
        <w:rPr>
          <w:rFonts w:ascii="Lato" w:cs="Lato" w:eastAsia="Lato" w:hAnsi="Lato"/>
          <w:color w:val="333333"/>
          <w:sz w:val="22"/>
          <w:szCs w:val="22"/>
        </w:rPr>
        <w:t xml:space="preserve">GPW welcomes customer audits as part of the supplier qualification process. Our quality documentation — including process flow diagrams, control plans, inspection records, and corrective action logs — is organized for efficient review. Remote audit packages are available for initial evaluations, and on-site audits can be scheduled at any time during active production. We treat every audit as an opportunity to demonstrate process maturity, not as a disruption to manage.</w:t>
      </w:r>
    </w:p>
    <w:p>
      <w:pPr>
        <w:spacing w:after="160" w:line="320"/>
      </w:pPr>
      <w:r>
        <w:rPr>
          <w:rFonts w:ascii="Lato" w:cs="Lato" w:eastAsia="Lato" w:hAnsi="Lato"/>
          <w:color w:val="333333"/>
          <w:sz w:val="22"/>
          <w:szCs w:val="22"/>
        </w:rPr>
        <w:t xml:space="preserve">Our goal is zero-defect delivery on every program. When non-conformances occur, our quality team conducts structured root cause analysis, implements corrective actions, and validates effectiveness before resuming production. Every corrective action is documented and shared with the customer within 48 hours.</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The Monterrey Advantage — Why This Location Matters</w:t>
      </w:r>
    </w:p>
    <w:p>
      <w:pPr>
        <w:spacing w:after="160" w:line="320"/>
      </w:pPr>
      <w:r>
        <w:rPr>
          <w:rFonts w:ascii="Lato" w:cs="Lato" w:eastAsia="Lato" w:hAnsi="Lato"/>
          <w:color w:val="333333"/>
          <w:sz w:val="22"/>
          <w:szCs w:val="22"/>
        </w:rPr>
        <w:t xml:space="preserve">Monterrey is not a compromise between domestic and offshore. It is a strategic manufacturing location that combines proximity, talent, infrastructure, and trade advantages that neither domestic U.S. nor offshore Asian production can match.</w:t>
      </w:r>
    </w:p>
    <w:p>
      <w:pPr>
        <w:spacing w:after="160" w:line="320"/>
      </w:pPr>
      <w:r>
        <w:rPr>
          <w:rFonts w:ascii="Lato" w:cs="Lato" w:eastAsia="Lato" w:hAnsi="Lato"/>
          <w:color w:val="333333"/>
          <w:sz w:val="22"/>
          <w:szCs w:val="22"/>
        </w:rPr>
        <w:t xml:space="preserve">For U.S. OEMs evaluating nearshore assembly, the question is not whether Mexico makes sense — the question is where in Mexico. GPW chose Monterrey because no other city in the region offers the same combination of industrial density, engineering talent, cross-border logistics, and manufacturing heritage.</w:t>
      </w:r>
    </w:p>
    <w:p>
      <w:pPr>
        <w:spacing w:after="160" w:line="320"/>
      </w:pPr>
      <w:r>
        <w:rPr>
          <w:rFonts w:ascii="Lato" w:cs="Lato" w:eastAsia="Lato" w:hAnsi="Lato"/>
          <w:b/>
          <w:bCs/>
          <w:color w:val="23555A"/>
          <w:sz w:val="22"/>
          <w:szCs w:val="22"/>
        </w:rPr>
        <w:t xml:space="preserve">Geographic Proximity:</w:t>
      </w:r>
      <w:r>
        <w:rPr>
          <w:rFonts w:ascii="Lato" w:cs="Lato" w:eastAsia="Lato" w:hAnsi="Lato"/>
          <w:color w:val="333333"/>
          <w:sz w:val="22"/>
          <w:szCs w:val="22"/>
        </w:rPr>
        <w:t xml:space="preserve"> 150 miles from the U.S. border. Same timezone as Central U.S. (CST). Your engineering team can be on the production floor in the morning and back home the same day.</w:t>
      </w:r>
    </w:p>
    <w:p>
      <w:pPr>
        <w:spacing w:after="160" w:line="320"/>
      </w:pPr>
      <w:r>
        <w:rPr>
          <w:rFonts w:ascii="Lato" w:cs="Lato" w:eastAsia="Lato" w:hAnsi="Lato"/>
          <w:b/>
          <w:bCs/>
          <w:color w:val="23555A"/>
          <w:sz w:val="22"/>
          <w:szCs w:val="22"/>
        </w:rPr>
        <w:t xml:space="preserve">Manufacturing Ecosystem:</w:t>
      </w:r>
      <w:r>
        <w:rPr>
          <w:rFonts w:ascii="Lato" w:cs="Lato" w:eastAsia="Lato" w:hAnsi="Lato"/>
          <w:color w:val="333333"/>
          <w:sz w:val="22"/>
          <w:szCs w:val="22"/>
        </w:rPr>
        <w:t xml:space="preserve"> Monterrey is home to the largest concentration of manufacturing facilities in Mexico — including operations from Caterpillar, John Deere, Carrier, Samsung, Whirlpool, and LG.</w:t>
      </w:r>
    </w:p>
    <w:p>
      <w:pPr>
        <w:spacing w:after="160" w:line="320"/>
      </w:pPr>
      <w:r>
        <w:rPr>
          <w:rFonts w:ascii="Lato" w:cs="Lato" w:eastAsia="Lato" w:hAnsi="Lato"/>
          <w:b/>
          <w:bCs/>
          <w:color w:val="23555A"/>
          <w:sz w:val="22"/>
          <w:szCs w:val="22"/>
        </w:rPr>
        <w:t xml:space="preserve">Engineering Talent:</w:t>
      </w:r>
      <w:r>
        <w:rPr>
          <w:rFonts w:ascii="Lato" w:cs="Lato" w:eastAsia="Lato" w:hAnsi="Lato"/>
          <w:color w:val="333333"/>
          <w:sz w:val="22"/>
          <w:szCs w:val="22"/>
        </w:rPr>
        <w:t xml:space="preserve"> Tecnológico de Monterrey (ITESM) and Universidad Autónoma de Nuevo León (UANL) produce thousands of engineering graduates annually.</w:t>
      </w:r>
    </w:p>
    <w:p>
      <w:pPr>
        <w:spacing w:after="160" w:line="320"/>
      </w:pPr>
      <w:r>
        <w:rPr>
          <w:rFonts w:ascii="Lato" w:cs="Lato" w:eastAsia="Lato" w:hAnsi="Lato"/>
          <w:b/>
          <w:bCs/>
          <w:color w:val="23555A"/>
          <w:sz w:val="22"/>
          <w:szCs w:val="22"/>
        </w:rPr>
        <w:t xml:space="preserve">Trade &amp; Compliance:</w:t>
      </w:r>
      <w:r>
        <w:rPr>
          <w:rFonts w:ascii="Lato" w:cs="Lato" w:eastAsia="Lato" w:hAnsi="Lato"/>
          <w:color w:val="333333"/>
          <w:sz w:val="22"/>
          <w:szCs w:val="22"/>
        </w:rPr>
        <w:t xml:space="preserve"> All GPW production is USMCA-compliant, providing tariff advantages over Asian-origin assemblies.</w:t>
      </w:r>
    </w:p>
    <w:p>
      <w:pPr>
        <w:spacing w:after="160" w:line="320"/>
      </w:pPr>
      <w:r>
        <w:rPr>
          <w:rFonts w:ascii="Lato" w:cs="Lato" w:eastAsia="Lato" w:hAnsi="Lato"/>
          <w:color w:val="333333"/>
          <w:sz w:val="22"/>
          <w:szCs w:val="22"/>
        </w:rPr>
        <w:t xml:space="preserve">Products assembled in Monterrey qualify for preferential duty treatment when shipped to the U.S. — a significant cost advantage as Section 301 tariffs on China-origin goods continue to apply.</w:t>
      </w:r>
    </w:p>
    <w:p>
      <w:pPr>
        <w:spacing w:after="160" w:line="320"/>
      </w:pPr>
      <w:r>
        <w:rPr>
          <w:rFonts w:ascii="Lato" w:cs="Lato" w:eastAsia="Lato" w:hAnsi="Lato"/>
          <w:b/>
          <w:bCs/>
          <w:color w:val="23555A"/>
          <w:sz w:val="22"/>
          <w:szCs w:val="22"/>
        </w:rPr>
        <w:t xml:space="preserve">Cost Structure:</w:t>
      </w:r>
      <w:r>
        <w:rPr>
          <w:rFonts w:ascii="Lato" w:cs="Lato" w:eastAsia="Lato" w:hAnsi="Lato"/>
          <w:color w:val="333333"/>
          <w:sz w:val="22"/>
          <w:szCs w:val="22"/>
        </w:rPr>
        <w:t xml:space="preserve"> 40-60% cost savings compared to equivalent domestic U.S. assembly operations — driven by competitive labor rates, lower facility costs, and favorable exchange rates. These savings are sustainable, not promotional — they reflect structural cost advantages built into Monterrey’s manufacturing economy.</w:t>
      </w:r>
    </w:p>
    <w:p>
      <w:pPr>
        <w:spacing w:after="160" w:line="320"/>
      </w:pPr>
      <w:r>
        <w:rPr>
          <w:rFonts w:ascii="Lato" w:cs="Lato" w:eastAsia="Lato" w:hAnsi="Lato"/>
          <w:b/>
          <w:bCs/>
          <w:color w:val="23555A"/>
          <w:sz w:val="22"/>
          <w:szCs w:val="22"/>
        </w:rPr>
        <w:t xml:space="preserve">Operational Continuity:</w:t>
      </w:r>
      <w:r>
        <w:rPr>
          <w:rFonts w:ascii="Lato" w:cs="Lato" w:eastAsia="Lato" w:hAnsi="Lato"/>
          <w:color w:val="333333"/>
          <w:sz w:val="22"/>
          <w:szCs w:val="22"/>
        </w:rPr>
        <w:t xml:space="preserve"> Monterrey’s manufacturing sector has operated continuously through global supply chain disruptions, demonstrating the resilience of the region’s industrial infrastructure. Established freight corridors, bonded warehouse networks, and customs brokerage partnerships enable predictable cross-border logistics. Your shipment clears customs and reaches a U.S. distribution point within 1-3 days by ground — faster than ocean freight from Asia by weeks.</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Multi-Vertical Expertise Under One Roof</w:t>
      </w:r>
    </w:p>
    <w:p>
      <w:pPr>
        <w:spacing w:after="160" w:line="320"/>
      </w:pPr>
      <w:r>
        <w:rPr>
          <w:rFonts w:ascii="Lato" w:cs="Lato" w:eastAsia="Lato" w:hAnsi="Lato"/>
          <w:color w:val="333333"/>
          <w:sz w:val="22"/>
          <w:szCs w:val="22"/>
        </w:rPr>
        <w:t xml:space="preserve">GPW serves 8 industries — each with its own assembly processes, compliance requirements, and quality standards. This multi-vertical capability is by design: it reduces GPW’s dependency on any single market cycle while giving every customer access to cross-industry assembly expertise.</w:t>
      </w:r>
    </w:p>
    <w:p>
      <w:pPr>
        <w:spacing w:after="160" w:line="320"/>
      </w:pPr>
      <w:r>
        <w:rPr>
          <w:rFonts w:ascii="Lato" w:cs="Lato" w:eastAsia="Lato" w:hAnsi="Lato"/>
          <w:color w:val="333333"/>
          <w:sz w:val="22"/>
          <w:szCs w:val="22"/>
        </w:rPr>
        <w:t xml:space="preserve">Why does multi-vertical matter to you? Because an assembly partner that builds across industries develops broader process knowledge. Techniques refined in aerospace traceability improve medical device documentation. Cable management practices from telecom cabinet builds apply directly to AI server rack integration. Thermal validation protocols from energy equipment transfer to industrial controls. GPW’s cross-industry experience compounds into better assembly outcomes for every customer — regardless of vertical.</w:t>
      </w:r>
    </w:p>
    <w:p>
      <w:pPr>
        <w:pStyle w:val="ListParagraph"/>
        <w:numPr>
          <w:ilvl w:val="0"/>
          <w:numId w:val="6"/>
        </w:numPr>
        <w:spacing w:after="80"/>
      </w:pPr>
      <w:r>
        <w:rPr>
          <w:rFonts w:ascii="Lato" w:cs="Lato" w:eastAsia="Lato" w:hAnsi="Lato"/>
          <w:b/>
          <w:bCs/>
          <w:color w:val="23555A"/>
          <w:sz w:val="22"/>
          <w:szCs w:val="22"/>
        </w:rPr>
        <w:t xml:space="preserve">AI &amp; Server Rack Assembly</w:t>
      </w:r>
      <w:r>
        <w:rPr>
          <w:rFonts w:ascii="Lato" w:cs="Lato" w:eastAsia="Lato" w:hAnsi="Lato"/>
          <w:color w:val="333333"/>
          <w:sz w:val="22"/>
          <w:szCs w:val="22"/>
        </w:rPr>
        <w:t xml:space="preserve"> — Precision rack integration for hyperscaler and enterprise OEMs</w:t>
      </w:r>
    </w:p>
    <w:p>
      <w:pPr>
        <w:pStyle w:val="ListParagraph"/>
        <w:numPr>
          <w:ilvl w:val="0"/>
          <w:numId w:val="6"/>
        </w:numPr>
        <w:spacing w:after="80"/>
      </w:pPr>
      <w:r>
        <w:rPr>
          <w:rFonts w:ascii="Lato" w:cs="Lato" w:eastAsia="Lato" w:hAnsi="Lato"/>
          <w:b/>
          <w:bCs/>
          <w:color w:val="23555A"/>
          <w:sz w:val="22"/>
          <w:szCs w:val="22"/>
        </w:rPr>
        <w:t xml:space="preserve">Industrial Equipment</w:t>
      </w:r>
      <w:r>
        <w:rPr>
          <w:rFonts w:ascii="Lato" w:cs="Lato" w:eastAsia="Lato" w:hAnsi="Lato"/>
          <w:color w:val="333333"/>
          <w:sz w:val="22"/>
          <w:szCs w:val="22"/>
        </w:rPr>
        <w:t xml:space="preserve"> — Controls, light machinery, and sub-assemblies</w:t>
      </w:r>
    </w:p>
    <w:p>
      <w:pPr>
        <w:pStyle w:val="ListParagraph"/>
        <w:numPr>
          <w:ilvl w:val="0"/>
          <w:numId w:val="6"/>
        </w:numPr>
        <w:spacing w:after="80"/>
      </w:pPr>
      <w:r>
        <w:rPr>
          <w:rFonts w:ascii="Lato" w:cs="Lato" w:eastAsia="Lato" w:hAnsi="Lato"/>
          <w:b/>
          <w:bCs/>
          <w:color w:val="23555A"/>
          <w:sz w:val="22"/>
          <w:szCs w:val="22"/>
        </w:rPr>
        <w:t xml:space="preserve">Telecommunications</w:t>
      </w:r>
      <w:r>
        <w:rPr>
          <w:rFonts w:ascii="Lato" w:cs="Lato" w:eastAsia="Lato" w:hAnsi="Lato"/>
          <w:color w:val="333333"/>
          <w:sz w:val="22"/>
          <w:szCs w:val="22"/>
        </w:rPr>
        <w:t xml:space="preserve"> — Cabinets, modules, and system integration</w:t>
      </w:r>
    </w:p>
    <w:p>
      <w:pPr>
        <w:pStyle w:val="ListParagraph"/>
        <w:numPr>
          <w:ilvl w:val="0"/>
          <w:numId w:val="6"/>
        </w:numPr>
        <w:spacing w:after="80"/>
      </w:pPr>
      <w:r>
        <w:rPr>
          <w:rFonts w:ascii="Lato" w:cs="Lato" w:eastAsia="Lato" w:hAnsi="Lato"/>
          <w:b/>
          <w:bCs/>
          <w:color w:val="23555A"/>
          <w:sz w:val="22"/>
          <w:szCs w:val="22"/>
        </w:rPr>
        <w:t xml:space="preserve">Medical Devices &amp; Equipment</w:t>
      </w:r>
      <w:r>
        <w:rPr>
          <w:rFonts w:ascii="Lato" w:cs="Lato" w:eastAsia="Lato" w:hAnsi="Lato"/>
          <w:color w:val="333333"/>
          <w:sz w:val="22"/>
          <w:szCs w:val="22"/>
        </w:rPr>
        <w:t xml:space="preserve"> — Controlled assembly under documented processes</w:t>
      </w:r>
    </w:p>
    <w:p>
      <w:pPr>
        <w:pStyle w:val="ListParagraph"/>
        <w:numPr>
          <w:ilvl w:val="0"/>
          <w:numId w:val="6"/>
        </w:numPr>
        <w:spacing w:after="80"/>
      </w:pPr>
      <w:r>
        <w:rPr>
          <w:rFonts w:ascii="Lato" w:cs="Lato" w:eastAsia="Lato" w:hAnsi="Lato"/>
          <w:b/>
          <w:bCs/>
          <w:color w:val="23555A"/>
          <w:sz w:val="22"/>
          <w:szCs w:val="22"/>
        </w:rPr>
        <w:t xml:space="preserve">Automotive</w:t>
      </w:r>
      <w:r>
        <w:rPr>
          <w:rFonts w:ascii="Lato" w:cs="Lato" w:eastAsia="Lato" w:hAnsi="Lato"/>
          <w:color w:val="333333"/>
          <w:sz w:val="22"/>
          <w:szCs w:val="22"/>
        </w:rPr>
        <w:t xml:space="preserve"> — Sub-assemblies, fixtures, and integration</w:t>
      </w:r>
    </w:p>
    <w:p>
      <w:pPr>
        <w:pStyle w:val="ListParagraph"/>
        <w:numPr>
          <w:ilvl w:val="0"/>
          <w:numId w:val="6"/>
        </w:numPr>
        <w:spacing w:after="80"/>
      </w:pPr>
      <w:r>
        <w:rPr>
          <w:rFonts w:ascii="Lato" w:cs="Lato" w:eastAsia="Lato" w:hAnsi="Lato"/>
          <w:b/>
          <w:bCs/>
          <w:color w:val="23555A"/>
          <w:sz w:val="22"/>
          <w:szCs w:val="22"/>
        </w:rPr>
        <w:t xml:space="preserve">Energy</w:t>
      </w:r>
      <w:r>
        <w:rPr>
          <w:rFonts w:ascii="Lato" w:cs="Lato" w:eastAsia="Lato" w:hAnsi="Lato"/>
          <w:color w:val="333333"/>
          <w:sz w:val="22"/>
          <w:szCs w:val="22"/>
        </w:rPr>
        <w:t xml:space="preserve"> — Equipment cabinets and system integration</w:t>
      </w:r>
    </w:p>
    <w:p>
      <w:pPr>
        <w:pStyle w:val="ListParagraph"/>
        <w:numPr>
          <w:ilvl w:val="0"/>
          <w:numId w:val="6"/>
        </w:numPr>
        <w:spacing w:after="80"/>
      </w:pPr>
      <w:r>
        <w:rPr>
          <w:rFonts w:ascii="Lato" w:cs="Lato" w:eastAsia="Lato" w:hAnsi="Lato"/>
          <w:b/>
          <w:bCs/>
          <w:color w:val="23555A"/>
          <w:sz w:val="22"/>
          <w:szCs w:val="22"/>
        </w:rPr>
        <w:t xml:space="preserve">Aerospace</w:t>
      </w:r>
      <w:r>
        <w:rPr>
          <w:rFonts w:ascii="Lato" w:cs="Lato" w:eastAsia="Lato" w:hAnsi="Lato"/>
          <w:color w:val="333333"/>
          <w:sz w:val="22"/>
          <w:szCs w:val="22"/>
        </w:rPr>
        <w:t xml:space="preserve"> — Sub-assemblies with full traceability</w:t>
      </w:r>
    </w:p>
    <w:p>
      <w:pPr>
        <w:pStyle w:val="ListParagraph"/>
        <w:numPr>
          <w:ilvl w:val="0"/>
          <w:numId w:val="6"/>
        </w:numPr>
        <w:spacing w:after="80"/>
      </w:pPr>
      <w:r>
        <w:rPr>
          <w:rFonts w:ascii="Lato" w:cs="Lato" w:eastAsia="Lato" w:hAnsi="Lato"/>
          <w:b/>
          <w:bCs/>
          <w:color w:val="23555A"/>
          <w:sz w:val="22"/>
          <w:szCs w:val="22"/>
        </w:rPr>
        <w:t xml:space="preserve">Appliances &amp; White Goods</w:t>
      </w:r>
      <w:r>
        <w:rPr>
          <w:rFonts w:ascii="Lato" w:cs="Lato" w:eastAsia="Lato" w:hAnsi="Lato"/>
          <w:color w:val="333333"/>
          <w:sz w:val="22"/>
          <w:szCs w:val="22"/>
        </w:rPr>
        <w:t xml:space="preserve"> — Assembly for consumer and commercial products</w:t>
      </w:r>
    </w:p>
    <w:p>
      <w:pPr>
        <w:pBdr>
          <w:bottom w:val="single" w:color="ADCF91" w:sz="4" w:space="8"/>
        </w:pBdr>
        <w:spacing w:after="200" w:before="200"/>
      </w:pPr>
      <w:r>
        <w:rPr>
          <w:sz w:val="2"/>
          <w:szCs w:val="2"/>
        </w:rPr>
        <w:t xml:space="preserve"/>
      </w:r>
    </w:p>
    <w:p>
      <w:pPr>
        <w:pStyle w:val="Heading2"/>
        <w:spacing w:after="160" w:before="300"/>
      </w:pPr>
      <w:r>
        <w:rPr>
          <w:rFonts w:ascii="Trirong" w:cs="Trirong" w:eastAsia="Trirong" w:hAnsi="Trirong"/>
          <w:b/>
          <w:bCs/>
          <w:color w:val="2A4E64"/>
          <w:sz w:val="28"/>
          <w:szCs w:val="28"/>
        </w:rPr>
        <w:t xml:space="preserve">See It for Yourself</w:t>
      </w:r>
    </w:p>
    <w:p>
      <w:pPr>
        <w:spacing w:after="160" w:line="320"/>
      </w:pPr>
      <w:r>
        <w:rPr>
          <w:rFonts w:ascii="Lato" w:cs="Lato" w:eastAsia="Lato" w:hAnsi="Lato"/>
          <w:color w:val="333333"/>
          <w:sz w:val="22"/>
          <w:szCs w:val="22"/>
        </w:rPr>
        <w:t xml:space="preserve">Whether you are evaluating nearshore assembly partners, scoping a new program, or ready to submit an RFQ — GPW is ready to talk. Start with a quote request and our engineering team will respond within 24 hours with a detailed technical review. Or schedule a facility tour to see the production floor, meet the team, and evaluate our capabilities firsthand.</w:t>
      </w:r>
    </w:p>
    <w:p>
      <w:pPr>
        <w:spacing w:after="80" w:before="200"/>
        <w:jc w:val="center"/>
      </w:pPr>
      <w:r>
        <w:rPr>
          <w:rFonts w:ascii="Lato" w:cs="Lato" w:eastAsia="Lato" w:hAnsi="Lato"/>
          <w:b/>
          <w:bCs/>
          <w:color w:val="FFFFFF"/>
          <w:sz w:val="24"/>
          <w:szCs w:val="24"/>
        </w:rPr>
        <w:t xml:space="preserve">[ Request a Quote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none"/>
              <w:left w:val="none"/>
              <w:bottom w:val="none"/>
              <w:right w:val="none"/>
            </w:tcBorders>
            <w:shd w:fill="ED835E" w:val="clear"/>
            <w:tcMar>
              <w:top w:type="dxa" w:w="120"/>
              <w:left w:type="dxa" w:w="200"/>
              <w:bottom w:type="dxa" w:w="120"/>
              <w:right w:type="dxa" w:w="200"/>
            </w:tcMar>
          </w:tcPr>
          <w:p>
            <w:pPr>
              <w:jc w:val="center"/>
            </w:pPr>
            <w:r>
              <w:rPr>
                <w:rFonts w:ascii="Lato" w:cs="Lato" w:eastAsia="Lato" w:hAnsi="Lato"/>
                <w:b/>
                <w:bCs/>
                <w:color w:val="FFFFFF"/>
                <w:sz w:val="24"/>
                <w:szCs w:val="24"/>
              </w:rPr>
              <w:t xml:space="preserve">Request a Quote</w:t>
            </w:r>
          </w:p>
        </w:tc>
      </w:tr>
    </w:tbl>
    <w:p>
      <w:pPr>
        <w:spacing w:after="200"/>
        <w:jc w:val="center"/>
      </w:pPr>
      <w:r>
        <w:rPr>
          <w:rFonts w:ascii="Lato" w:cs="Lato" w:eastAsia="Lato" w:hAnsi="Lato"/>
          <w:i/>
          <w:iCs/>
          <w:color w:val="666666"/>
          <w:sz w:val="20"/>
          <w:szCs w:val="20"/>
        </w:rPr>
        <w:t xml:space="preserve">No commitment. No minimum order. Our engineering team responds within 24 hours.</w:t>
      </w:r>
    </w:p>
    <w:p>
      <w:pPr>
        <w:spacing w:after="80" w:before="200"/>
        <w:jc w:val="center"/>
      </w:pPr>
      <w:r>
        <w:rPr>
          <w:rFonts w:ascii="Lato" w:cs="Lato" w:eastAsia="Lato" w:hAnsi="Lato"/>
          <w:b/>
          <w:bCs/>
          <w:color w:val="FFFFFF"/>
          <w:sz w:val="24"/>
          <w:szCs w:val="24"/>
        </w:rPr>
        <w:t xml:space="preserve">[ Schedule a Facility Tour ]</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4000"/>
            <w:tcBorders>
              <w:top w:val="none"/>
              <w:left w:val="none"/>
              <w:bottom w:val="none"/>
              <w:right w:val="none"/>
            </w:tcBorders>
            <w:shd w:fill="23555A" w:val="clear"/>
            <w:tcMar>
              <w:top w:type="dxa" w:w="120"/>
              <w:left w:type="dxa" w:w="200"/>
              <w:bottom w:type="dxa" w:w="120"/>
              <w:right w:type="dxa" w:w="200"/>
            </w:tcMar>
          </w:tcPr>
          <w:p>
            <w:pPr>
              <w:jc w:val="center"/>
            </w:pPr>
            <w:r>
              <w:rPr>
                <w:rFonts w:ascii="Lato" w:cs="Lato" w:eastAsia="Lato" w:hAnsi="Lato"/>
                <w:b/>
                <w:bCs/>
                <w:color w:val="FFFFFF"/>
                <w:sz w:val="24"/>
                <w:szCs w:val="24"/>
              </w:rPr>
              <w:t xml:space="preserve">Schedule a Facility Tour</w:t>
            </w:r>
          </w:p>
        </w:tc>
      </w:tr>
    </w:tbl>
    <w:p>
      <w:pPr>
        <w:spacing w:after="200"/>
        <w:jc w:val="center"/>
      </w:pPr>
      <w:r>
        <w:rPr>
          <w:rFonts w:ascii="Lato" w:cs="Lato" w:eastAsia="Lato" w:hAnsi="Lato"/>
          <w:i/>
          <w:iCs/>
          <w:color w:val="666666"/>
          <w:sz w:val="20"/>
          <w:szCs w:val="20"/>
        </w:rPr>
        <w:t xml:space="preserve">Visit our Monterrey facility and evaluate our capabilities in person.</w:t>
      </w:r>
    </w:p>
    <w:p>
      <w:r>
        <w:br w:type="page"/>
      </w:r>
    </w:p>
    <w:p>
      <w:pPr>
        <w:pStyle w:val="Heading2"/>
        <w:spacing w:after="160" w:before="300"/>
      </w:pPr>
      <w:r>
        <w:rPr>
          <w:rFonts w:ascii="Trirong" w:cs="Trirong" w:eastAsia="Trirong" w:hAnsi="Trirong"/>
          <w:b/>
          <w:bCs/>
          <w:color w:val="2A4E64"/>
          <w:sz w:val="28"/>
          <w:szCs w:val="28"/>
        </w:rPr>
        <w:t xml:space="preserve">Frequently Asked Questions</w:t>
      </w:r>
    </w:p>
    <w:p>
      <w:pPr>
        <w:spacing w:after="100" w:before="200"/>
      </w:pPr>
      <w:r>
        <w:rPr>
          <w:rFonts w:ascii="Lato" w:cs="Lato" w:eastAsia="Lato" w:hAnsi="Lato"/>
          <w:b/>
          <w:bCs/>
          <w:color w:val="23555A"/>
          <w:sz w:val="24"/>
          <w:szCs w:val="24"/>
        </w:rPr>
        <w:t xml:space="preserve">What makes GPW different from other EMS providers in Mexico?</w:t>
      </w:r>
    </w:p>
    <w:p>
      <w:pPr>
        <w:spacing w:after="160" w:line="320"/>
      </w:pPr>
      <w:r>
        <w:rPr>
          <w:rFonts w:ascii="Lato" w:cs="Lato" w:eastAsia="Lato" w:hAnsi="Lato"/>
          <w:color w:val="333333"/>
          <w:sz w:val="22"/>
          <w:szCs w:val="22"/>
        </w:rPr>
        <w:t xml:space="preserve">GPW is assembly-first — we integrate mechanical, electrical, and cabling into finished products rather than focusing on PCBA fabrication. Most EMS providers in Mexico specialize in board-level work. GPW specializes in the system-level assembly that happens after the boards are made: mounting components into enclosures, routing cables, integrating sub-assemblies, testing the complete unit, and packaging for shipment.</w:t>
      </w:r>
    </w:p>
    <w:p>
      <w:pPr>
        <w:spacing w:after="100" w:before="200"/>
      </w:pPr>
      <w:r>
        <w:rPr>
          <w:rFonts w:ascii="Lato" w:cs="Lato" w:eastAsia="Lato" w:hAnsi="Lato"/>
          <w:b/>
          <w:bCs/>
          <w:color w:val="23555A"/>
          <w:sz w:val="24"/>
          <w:szCs w:val="24"/>
        </w:rPr>
        <w:t xml:space="preserve">How long has GPW been operating?</w:t>
      </w:r>
    </w:p>
    <w:p>
      <w:pPr>
        <w:spacing w:after="160" w:line="320"/>
      </w:pPr>
      <w:r>
        <w:rPr>
          <w:rFonts w:ascii="Lato" w:cs="Lato" w:eastAsia="Lato" w:hAnsi="Lato"/>
          <w:color w:val="333333"/>
          <w:sz w:val="22"/>
          <w:szCs w:val="22"/>
        </w:rPr>
        <w:t xml:space="preserve">GPW was founded by a team with hands-on experience in industrial manufacturing and assembly operations. Our processes, quality systems, and facility were engineered to meet international OEM standards from day one. We prove capability through pilot builds and first article validation — you see results before you commit to volume production.</w:t>
      </w:r>
    </w:p>
    <w:p>
      <w:pPr>
        <w:spacing w:after="100" w:before="200"/>
      </w:pPr>
      <w:r>
        <w:rPr>
          <w:rFonts w:ascii="Lato" w:cs="Lato" w:eastAsia="Lato" w:hAnsi="Lato"/>
          <w:b/>
          <w:bCs/>
          <w:color w:val="23555A"/>
          <w:sz w:val="24"/>
          <w:szCs w:val="24"/>
        </w:rPr>
        <w:t xml:space="preserve">Can I visit the GPW facility?</w:t>
      </w:r>
    </w:p>
    <w:p>
      <w:pPr>
        <w:spacing w:after="160" w:line="320"/>
      </w:pPr>
      <w:r>
        <w:rPr>
          <w:rFonts w:ascii="Lato" w:cs="Lato" w:eastAsia="Lato" w:hAnsi="Lato"/>
          <w:color w:val="333333"/>
          <w:sz w:val="22"/>
          <w:szCs w:val="22"/>
        </w:rPr>
        <w:t xml:space="preserve">Yes. We encourage facility tours for prospective OEM partners. Monterrey is a 2-hour flight from Austin, Dallas, or Phoenix, and 3 hours from San Jose. Contact us to schedule a visit with our engineering and operations team. Many customers combine a facility tour with an initial technical review of their assembly requirements.</w:t>
      </w:r>
    </w:p>
    <w:p>
      <w:pPr>
        <w:spacing w:after="100" w:before="200"/>
      </w:pPr>
      <w:r>
        <w:rPr>
          <w:rFonts w:ascii="Lato" w:cs="Lato" w:eastAsia="Lato" w:hAnsi="Lato"/>
          <w:b/>
          <w:bCs/>
          <w:color w:val="23555A"/>
          <w:sz w:val="24"/>
          <w:szCs w:val="24"/>
        </w:rPr>
        <w:t xml:space="preserve">What certifications does GPW hold?</w:t>
      </w:r>
    </w:p>
    <w:p>
      <w:pPr>
        <w:spacing w:after="160" w:line="320"/>
      </w:pPr>
      <w:r>
        <w:rPr>
          <w:rFonts w:ascii="Lato" w:cs="Lato" w:eastAsia="Lato" w:hAnsi="Lato"/>
          <w:color w:val="333333"/>
          <w:sz w:val="22"/>
          <w:szCs w:val="22"/>
        </w:rPr>
        <w:t xml:space="preserve">GPW is pursuing IPC-A-610, IPC-A-620, and ISO 9001 certifications. All assembly processes already follow the workmanship criteria defined by these standards. Industry-specific certifications (AS9100, IATF 16949, FDA 21 CFR Part 820 compliance) are structured into our quality framework and pursued as customer programs require.</w:t>
      </w:r>
    </w:p>
    <w:p>
      <w:pPr>
        <w:spacing w:after="100" w:before="200"/>
      </w:pPr>
      <w:r>
        <w:rPr>
          <w:rFonts w:ascii="Lato" w:cs="Lato" w:eastAsia="Lato" w:hAnsi="Lato"/>
          <w:b/>
          <w:bCs/>
          <w:color w:val="23555A"/>
          <w:sz w:val="24"/>
          <w:szCs w:val="24"/>
        </w:rPr>
        <w:t xml:space="preserve">How does GPW handle intellectual property protection?</w:t>
      </w:r>
    </w:p>
    <w:p>
      <w:pPr>
        <w:spacing w:after="160" w:line="320"/>
      </w:pPr>
      <w:r>
        <w:rPr>
          <w:rFonts w:ascii="Lato" w:cs="Lato" w:eastAsia="Lato" w:hAnsi="Lato"/>
          <w:color w:val="333333"/>
          <w:sz w:val="22"/>
          <w:szCs w:val="22"/>
        </w:rPr>
        <w:t xml:space="preserve">GPW operates under strict NDAs with every customer. We control facility access and segregate production areas by program. We store all project data, BOM information, and proprietary specifications in secure systems with role-based access. Your IP stays yours — GPW builds to your specifications, not ours.</w:t>
      </w:r>
    </w:p>
    <w:p>
      <w:pPr>
        <w:spacing w:after="100" w:before="200"/>
      </w:pPr>
      <w:r>
        <w:rPr>
          <w:rFonts w:ascii="Lato" w:cs="Lato" w:eastAsia="Lato" w:hAnsi="Lato"/>
          <w:b/>
          <w:bCs/>
          <w:color w:val="23555A"/>
          <w:sz w:val="24"/>
          <w:szCs w:val="24"/>
        </w:rPr>
        <w:t xml:space="preserve">What size companies does GPW serve?</w:t>
      </w:r>
    </w:p>
    <w:p>
      <w:pPr>
        <w:spacing w:after="160" w:line="320"/>
      </w:pPr>
      <w:r>
        <w:rPr>
          <w:rFonts w:ascii="Lato" w:cs="Lato" w:eastAsia="Lato" w:hAnsi="Lato"/>
          <w:color w:val="333333"/>
          <w:sz w:val="22"/>
          <w:szCs w:val="22"/>
        </w:rPr>
        <w:t xml:space="preserve">GPW serves Tier 1 and Tier 2 OEMs — typically companies with $50M to $500M+ in revenue. Our sweet spot is mid-market OEMs that need dedicated attention and flexible capacity — the companies that get deprioritized by mega-tier EMS providers. Programs range from pilot builds of 10 units to sustained production of 10,000+ units per month.</w:t>
      </w:r>
    </w:p>
    <w:p>
      <w:r>
        <w:br w:type="page"/>
      </w:r>
    </w:p>
    <w:p>
      <w:pPr>
        <w:pStyle w:val="Heading2"/>
        <w:spacing w:after="160" w:before="300"/>
      </w:pPr>
      <w:r>
        <w:rPr>
          <w:rFonts w:ascii="Trirong" w:cs="Trirong" w:eastAsia="Trirong" w:hAnsi="Trirong"/>
          <w:b/>
          <w:bCs/>
          <w:color w:val="2A4E64"/>
          <w:sz w:val="28"/>
          <w:szCs w:val="28"/>
        </w:rPr>
        <w:t xml:space="preserve">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URL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/electromechanical-assembly/about/</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H1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Built by Engineers. Driven by Precision. Based in Monterrey.</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Title Tag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About GPW | Electromechanical Assembly Partner in Monterrey (55 chars)</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Meta Description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Meet GPW — a nearshore electromechanical assembly partner in Monterrey, Mexico. Engineering-driven quality and multi-industry expertise for U.S. OEMs. (155 chars)</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Primary Keyword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electromechanical assembly company Monterrey</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Secondary Keywords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about GPW, nearshore assembly partner Mexico, EMS company Monterrey</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Schema Markup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Organization + AboutPage (combined JSON-LD)</w:t>
            </w:r>
          </w:p>
        </w:tc>
      </w:tr>
      <w:tr>
        <w:tc>
          <w:tcPr>
            <w:tcW w:type="dxa" w:w="2800"/>
            <w:tcBorders>
              <w:top w:val="single" w:color="CCCCCC" w:sz="1"/>
              <w:left w:val="single" w:color="CCCCCC" w:sz="1"/>
              <w:bottom w:val="single" w:color="CCCCCC" w:sz="1"/>
              <w:right w:val="single" w:color="CCCCCC" w:sz="1"/>
            </w:tcBorders>
            <w:shd w:fill="E8F0F2" w:val="clear"/>
            <w:tcMar>
              <w:top w:type="dxa" w:w="80"/>
              <w:left w:type="dxa" w:w="120"/>
              <w:bottom w:type="dxa" w:w="80"/>
              <w:right w:type="dxa" w:w="120"/>
            </w:tcMar>
          </w:tcPr>
          <w:p>
            <w:r>
              <w:rPr>
                <w:rFonts w:ascii="Lato" w:cs="Lato" w:eastAsia="Lato" w:hAnsi="Lato"/>
                <w:b/>
                <w:bCs/>
                <w:color w:val="2A4E64"/>
                <w:sz w:val="20"/>
                <w:szCs w:val="20"/>
              </w:rPr>
              <w:t xml:space="preserve">FAQ Schema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Lato" w:cs="Lato" w:eastAsia="Lato" w:hAnsi="Lato"/>
                <w:color w:val="333333"/>
                <w:sz w:val="20"/>
                <w:szCs w:val="20"/>
              </w:rPr>
              <w:t xml:space="preserve">FAQPage schema for 6 questions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4" w:space="4"/>
      </w:pBdr>
      <w:jc w:val="right"/>
    </w:pPr>
    <w:r>
      <w:rPr>
        <w:rFonts w:ascii="Lato" w:cs="Lato" w:eastAsia="Lato" w:hAnsi="Lato"/>
        <w:color w:val="999999"/>
        <w:sz w:val="16"/>
        <w:szCs w:val="16"/>
      </w:rPr>
      <w:t xml:space="preserve">gpw-solutions.com/electromechanical-assembly/about/  |  Page </w:t>
    </w:r>
    <w:r>
      <w:rPr>
        <w:rFonts w:ascii="Lato" w:cs="Lato" w:eastAsia="Lato" w:hAnsi="Lat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4"/>
      </w:pBdr>
    </w:pPr>
    <w:r>
      <w:rPr>
        <w:rFonts w:ascii="Trirong" w:cs="Trirong" w:eastAsia="Trirong" w:hAnsi="Trirong"/>
        <w:b/>
        <w:bCs/>
        <w:color w:val="23555A"/>
        <w:sz w:val="18"/>
        <w:szCs w:val="18"/>
      </w:rPr>
      <w:t xml:space="preserve">GPW </w:t>
    </w:r>
    <w:r>
      <w:rPr>
        <w:rFonts w:ascii="Lato" w:cs="Lato" w:eastAsia="Lato" w:hAnsi="Lato"/>
        <w:color w:val="999999"/>
        <w:sz w:val="18"/>
        <w:szCs w:val="18"/>
      </w:rPr>
      <w:t xml:space="preserve">| About the EMS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60" w:before="300"/>
      <w:outlineLvl w:val="1"/>
    </w:pPr>
    <w:rPr>
      <w:rFonts w:ascii="Trirong" w:cs="Trirong" w:eastAsia="Trirong" w:hAnsi="Trirong"/>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2026-03-07T02:18:06.581Z</dcterms:created>
  <dcterms:modified xsi:type="dcterms:W3CDTF">2026-03-07T02:18:06.581Z</dcterms:modified>
</cp:coreProperties>
</file>

<file path=docProps/custom.xml><?xml version="1.0" encoding="utf-8"?>
<Properties xmlns="http://schemas.openxmlformats.org/officeDocument/2006/custom-properties" xmlns:vt="http://schemas.openxmlformats.org/officeDocument/2006/docPropsVTypes"/>
</file>