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rirong" w:cs="Trirong" w:eastAsia="Trirong" w:hAnsi="Trirong"/>
          <w:color w:val="23555A"/>
          <w:spacing w:val="300"/>
          <w:sz w:val="20"/>
          <w:szCs w:val="20"/>
        </w:rPr>
        <w:t xml:space="preserve">GLOBAL PRECISION WORKS</w:t>
      </w:r>
    </w:p>
    <w:p>
      <w:pPr>
        <w:pBdr>
          <w:bottom w:val="single" w:color="ED835E" w:sz="8" w:space="1"/>
        </w:pBdr>
        <w:spacing w:after="100"/>
        <w:jc w:val="center"/>
      </w:pPr>
    </w:p>
    <w:p>
      <w:pPr>
        <w:spacing w:after="200"/>
      </w:pPr>
    </w:p>
    <w:p>
      <w:pPr>
        <w:spacing w:after="120"/>
        <w:jc w:val="center"/>
      </w:pPr>
      <w:r>
        <w:rPr>
          <w:rFonts w:ascii="Trirong" w:cs="Trirong" w:eastAsia="Trirong" w:hAnsi="Trirong"/>
          <w:b/>
          <w:bCs/>
          <w:color w:val="23555A"/>
          <w:sz w:val="52"/>
          <w:szCs w:val="52"/>
        </w:rPr>
        <w:t xml:space="preserve">Services Hub</w:t>
      </w:r>
    </w:p>
    <w:p>
      <w:pPr>
        <w:spacing w:after="80"/>
        <w:jc w:val="center"/>
      </w:pPr>
      <w:r>
        <w:rPr>
          <w:rFonts w:ascii="Trirong" w:cs="Trirong" w:eastAsia="Trirong" w:hAnsi="Trirong"/>
          <w:color w:val="2A4E64"/>
          <w:sz w:val="28"/>
          <w:szCs w:val="28"/>
        </w:rPr>
        <w:t xml:space="preserve">Electromechanical Assembly Services</w:t>
      </w:r>
    </w:p>
    <w:p>
      <w:pPr>
        <w:spacing w:after="400"/>
        <w:jc w:val="center"/>
      </w:pPr>
      <w:r>
        <w:rPr>
          <w:rFonts w:ascii="Lato" w:cs="Lato" w:eastAsia="Lato" w:hAnsi="Lato"/>
          <w:color w:val="ED835E"/>
          <w:sz w:val="20"/>
          <w:szCs w:val="20"/>
        </w:rPr>
        <w:t xml:space="preserve">gpw-solutions.com/electromechanical-assembly/services/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3555A"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WORD COUNT</w:t>
            </w:r>
          </w:p>
          <w:p>
            <w:pPr>
              <w:jc w:val="center"/>
            </w:pPr>
            <w:r>
              <w:rPr>
                <w:rFonts w:ascii="Lato" w:cs="Lato" w:eastAsia="Lato" w:hAnsi="Lato"/>
                <w:b/>
                <w:bCs/>
                <w:color w:val="FFFFFF"/>
                <w:sz w:val="28"/>
                <w:szCs w:val="28"/>
              </w:rPr>
              <w:t xml:space="preserve">~2,800</w:t>
            </w:r>
          </w:p>
        </w:tc>
        <w:tc>
          <w:tcPr>
            <w:tcW w:type="dxa" w:w="3120"/>
            <w:tcBorders>
              <w:top w:val="none" w:color="FFFFFF" w:sz="0"/>
              <w:left w:val="none" w:color="FFFFFF" w:sz="0"/>
              <w:bottom w:val="none" w:color="FFFFFF" w:sz="0"/>
              <w:right w:val="none" w:color="FFFFFF" w:sz="0"/>
            </w:tcBorders>
            <w:shd w:fill="2A4E64"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PAGE TYPE</w:t>
            </w:r>
          </w:p>
          <w:p>
            <w:pPr>
              <w:jc w:val="center"/>
            </w:pPr>
            <w:r>
              <w:rPr>
                <w:rFonts w:ascii="Lato" w:cs="Lato" w:eastAsia="Lato" w:hAnsi="Lato"/>
                <w:b/>
                <w:bCs/>
                <w:color w:val="FFFFFF"/>
                <w:sz w:val="28"/>
                <w:szCs w:val="28"/>
              </w:rPr>
              <w:t xml:space="preserve">Hub Page</w:t>
            </w:r>
          </w:p>
        </w:tc>
        <w:tc>
          <w:tcPr>
            <w:tcW w:type="dxa" w:w="3120"/>
            <w:tcBorders>
              <w:top w:val="none" w:color="FFFFFF" w:sz="0"/>
              <w:left w:val="none" w:color="FFFFFF" w:sz="0"/>
              <w:bottom w:val="none" w:color="FFFFFF" w:sz="0"/>
              <w:right w:val="none" w:color="FFFFFF" w:sz="0"/>
            </w:tcBorders>
            <w:shd w:fill="ED835E"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PRIORITY</w:t>
            </w:r>
          </w:p>
          <w:p>
            <w:pPr>
              <w:jc w:val="center"/>
            </w:pPr>
            <w:r>
              <w:rPr>
                <w:rFonts w:ascii="Lato" w:cs="Lato" w:eastAsia="Lato" w:hAnsi="Lato"/>
                <w:b/>
                <w:bCs/>
                <w:color w:val="FFFFFF"/>
                <w:sz w:val="28"/>
                <w:szCs w:val="28"/>
              </w:rPr>
              <w:t xml:space="preserve">P0</w:t>
            </w:r>
          </w:p>
        </w:tc>
      </w:tr>
    </w:tbl>
    <w:p>
      <w:pPr>
        <w:spacing w:before="600"/>
        <w:jc w:val="center"/>
      </w:pPr>
      <w:r>
        <w:rPr>
          <w:rFonts w:ascii="Lato" w:cs="Lato" w:eastAsia="Lato" w:hAnsi="Lato"/>
          <w:color w:val="666666"/>
          <w:sz w:val="20"/>
          <w:szCs w:val="20"/>
        </w:rPr>
        <w:t xml:space="preserve">Phase 3: Content Creation | March 2026</w:t>
      </w:r>
    </w:p>
    <w:p>
      <w:pPr>
        <w:spacing w:after="200"/>
        <w:jc w:val="center"/>
      </w:pPr>
      <w:r>
        <w:rPr>
          <w:rFonts w:ascii="Lato" w:cs="Lato" w:eastAsia="Lato" w:hAnsi="Lato"/>
          <w:color w:val="666666"/>
          <w:sz w:val="20"/>
          <w:szCs w:val="20"/>
        </w:rPr>
        <w:t xml:space="preserve">Content Pillars: Assembly Services, Industry Expertise</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SEO Title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Electromechanical Assembly Services | GPW Monterrey (55 chars)</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Meta Description</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Five electromechanical assembly services — box build, cable harness, system integration, testing, and enclosures — engineered for U.S. OEMs by GPW in Monterrey. (155 chars)</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Primary Keyword</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electromechanical assembly services</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Primary CTA</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Request a Quote</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Secondary CTA</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Explore Each Service</w:t>
            </w:r>
          </w:p>
        </w:tc>
      </w:tr>
    </w:tbl>
    <w:p>
      <w:pPr>
        <w:spacing w:after="200"/>
      </w:pPr>
    </w:p>
    <w:p>
      <w:pPr>
        <w:pStyle w:val="Heading1"/>
        <w:spacing w:after="200" w:before="360"/>
      </w:pPr>
      <w:r>
        <w:rPr>
          <w:rFonts w:ascii="Trirong" w:cs="Trirong" w:eastAsia="Trirong" w:hAnsi="Trirong"/>
          <w:b/>
          <w:bCs/>
          <w:color w:val="23555A"/>
          <w:sz w:val="36"/>
          <w:szCs w:val="36"/>
        </w:rPr>
        <w:t xml:space="preserve">Five Services. Eight Industries. One Precision Standard.</w:t>
      </w:r>
    </w:p>
    <w:p>
      <w:pPr>
        <w:spacing w:after="160"/>
        <w:rPr>
          <w:i/>
          <w:iCs/>
          <w:color w:val="2A4E64"/>
          <w:sz w:val="24"/>
          <w:szCs w:val="24"/>
        </w:rPr>
      </w:pPr>
      <w:r>
        <w:rPr>
          <w:rFonts w:ascii="Lato" w:cs="Lato" w:eastAsia="Lato" w:hAnsi="Lato"/>
          <w:i/>
          <w:iCs/>
          <w:color w:val="2A4E64"/>
          <w:sz w:val="24"/>
          <w:szCs w:val="24"/>
        </w:rPr>
        <w:t xml:space="preserve">Global Precision Works (GPW) delivers five core electromechanical assembly services — each engineered to take your product from components to a fully tested, shipping-ready unit.</w:t>
      </w:r>
    </w:p>
    <w:p>
      <w:pPr>
        <w:spacing w:after="160"/>
      </w:pPr>
      <w:r>
        <w:rPr>
          <w:rFonts w:ascii="Lato" w:cs="Lato" w:eastAsia="Lato" w:hAnsi="Lato"/>
          <w:color w:val="333333"/>
          <w:sz w:val="22"/>
          <w:szCs w:val="22"/>
        </w:rPr>
        <w:t xml:space="preserve">Every product GPW assembles follows the same principle: mechanical structure, electrical components, cabling, and testing come together under one roof, managed by one team, held to one quality standard. Whether your program involves a single enclosure build or a full system integration across thousands of units, these five services cover every stage of the assembly process.</w:t>
      </w:r>
    </w:p>
    <w:p>
      <w:pPr>
        <w:spacing w:after="160"/>
      </w:pPr>
      <w:r>
        <w:rPr>
          <w:rFonts w:ascii="Lato" w:cs="Lato" w:eastAsia="Lato" w:hAnsi="Lato"/>
          <w:color w:val="333333"/>
          <w:sz w:val="22"/>
          <w:szCs w:val="22"/>
        </w:rPr>
        <w:t xml:space="preserve">This page is your starting point. Each service links to a detailed capability page with process breakdowns, industry applications, specifications, and FAQs. If you already know what you need, request a quote and our engineering team will respond within 24 hours.</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Assembly That Combines Mechanical, Electrical, and Cabling into Finished Products</w:t>
      </w:r>
    </w:p>
    <w:p>
      <w:pPr>
        <w:spacing w:after="160"/>
      </w:pPr>
      <w:r>
        <w:rPr>
          <w:rFonts w:ascii="Lato" w:cs="Lato" w:eastAsia="Lato" w:hAnsi="Lato"/>
          <w:color w:val="333333"/>
          <w:sz w:val="22"/>
          <w:szCs w:val="22"/>
        </w:rPr>
        <w:t xml:space="preserve">Electromechanical assembly is the process of integrating mechanical structures, electronic components, cable and wire harnesses, and functional testing into a complete, shipping-ready product. Unlike PCBA fabrication — which produces circuit boards — electromechanical assembly takes those boards and all other components and builds them into the final product that ships to your customer.</w:t>
      </w:r>
    </w:p>
    <w:p>
      <w:pPr>
        <w:spacing w:after="160"/>
      </w:pPr>
      <w:r>
        <w:rPr>
          <w:rFonts w:ascii="Lato" w:cs="Lato" w:eastAsia="Lato" w:hAnsi="Lato"/>
          <w:color w:val="333333"/>
          <w:sz w:val="22"/>
          <w:szCs w:val="22"/>
        </w:rPr>
        <w:t xml:space="preserve">GPW specializes in this exact scope. We do not fabricate PCBAs. We do not run SMT lines. What we do is receive your bill of materials — the chassis, the boards, the connectors, the cables, the fasteners, the firmware — and assemble it into a finished product that ships from our Monterrey facility tested, labeled, and packaged to your specifications.</w:t>
      </w:r>
    </w:p>
    <w:p>
      <w:pPr>
        <w:spacing w:after="160"/>
      </w:pPr>
      <w:r>
        <w:rPr>
          <w:rFonts w:ascii="Lato" w:cs="Lato" w:eastAsia="Lato" w:hAnsi="Lato"/>
          <w:color w:val="333333"/>
          <w:sz w:val="22"/>
          <w:szCs w:val="22"/>
        </w:rPr>
        <w:t xml:space="preserve">This assembly-first focus is what separates GPW from traditional EMS providers. Every process, every workstation, and every quality gate is designed around one objective: building complex products that meet your specifications the first time.</w:t>
      </w:r>
    </w:p>
    <w:p>
      <w:pPr>
        <w:spacing w:after="160"/>
      </w:pPr>
      <w:r>
        <w:rPr>
          <w:rFonts w:ascii="Lato" w:cs="Lato" w:eastAsia="Lato" w:hAnsi="Lato"/>
          <w:color w:val="333333"/>
          <w:sz w:val="22"/>
          <w:szCs w:val="22"/>
        </w:rPr>
        <w:t xml:space="preserve">The scope of electromechanical assembly spans a wide range of complexity. On one end: a cable harness with 20 terminations, continuity-tested and labeled. On the other: a multi-rack AI server system with 500+ cables, dozens of PCBAs, thermal management, firmware loading, and 72-hour burn-in validation. GPW handles both ends of this spectrum — and everything between — using the same disciplined process framework: document the build, control the materials, verify at every station, test to specification.</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Five Core Services — From Component to Complete Product</w:t>
      </w:r>
    </w:p>
    <w:p>
      <w:pPr>
        <w:spacing w:after="160"/>
      </w:pPr>
      <w:r>
        <w:rPr>
          <w:rFonts w:ascii="Lato" w:cs="Lato" w:eastAsia="Lato" w:hAnsi="Lato"/>
          <w:color w:val="333333"/>
          <w:sz w:val="22"/>
          <w:szCs w:val="22"/>
        </w:rPr>
        <w:t xml:space="preserve">GPW’s service portfolio covers the full electromechanical assembly spectrum. Each service operates as a standalone capability and as part of a larger integrated build. Most customer programs combine two or more services within a single production line.</w:t>
      </w:r>
    </w:p>
    <w:p>
      <w:pPr>
        <w:spacing w:after="120" w:before="240"/>
      </w:pPr>
      <w:r>
        <w:rPr>
          <w:rFonts w:ascii="Trirong" w:cs="Trirong" w:eastAsia="Trirong" w:hAnsi="Trirong"/>
          <w:b/>
          <w:bCs/>
          <w:color w:val="23555A"/>
          <w:sz w:val="24"/>
          <w:szCs w:val="24"/>
        </w:rPr>
        <w:t xml:space="preserve">Service 1: Box Build Assembly</w:t>
      </w:r>
    </w:p>
    <w:p>
      <w:pPr>
        <w:spacing w:after="160"/>
      </w:pPr>
      <w:r>
        <w:rPr>
          <w:rFonts w:ascii="Lato" w:cs="Lato" w:eastAsia="Lato" w:hAnsi="Lato"/>
          <w:b/>
          <w:bCs/>
          <w:color w:val="23555A"/>
          <w:sz w:val="22"/>
          <w:szCs w:val="22"/>
        </w:rPr>
        <w:t xml:space="preserve">What it is: </w:t>
      </w:r>
      <w:r>
        <w:rPr>
          <w:rFonts w:ascii="Lato" w:cs="Lato" w:eastAsia="Lato" w:hAnsi="Lato"/>
          <w:color w:val="333333"/>
          <w:sz w:val="22"/>
          <w:szCs w:val="22"/>
        </w:rPr>
        <w:t xml:space="preserve">Box build assembly is the complete integration of mechanical, electrical, and electromechanical components into a finished enclosure or housing. GPW receives your components — PCBAs, connectors, power supplies, displays, brackets, fasteners — and builds them into a product that is tested, labeled, and ready to ship.</w:t>
      </w:r>
    </w:p>
    <w:p>
      <w:pPr>
        <w:spacing w:after="160"/>
      </w:pPr>
      <w:r>
        <w:rPr>
          <w:rFonts w:ascii="Lato" w:cs="Lato" w:eastAsia="Lato" w:hAnsi="Lato"/>
          <w:b/>
          <w:bCs/>
          <w:color w:val="2A4E64"/>
          <w:sz w:val="22"/>
          <w:szCs w:val="22"/>
        </w:rPr>
        <w:t xml:space="preserve">What GPW delivers:</w:t>
      </w:r>
    </w:p>
    <w:p>
      <w:pPr>
        <w:pStyle w:val="ListParagraph"/>
        <w:numPr>
          <w:ilvl w:val="0"/>
          <w:numId w:val="2"/>
        </w:numPr>
        <w:spacing w:after="80"/>
      </w:pPr>
      <w:r>
        <w:rPr>
          <w:rFonts w:ascii="Lato" w:cs="Lato" w:eastAsia="Lato" w:hAnsi="Lato"/>
          <w:color w:val="333333"/>
          <w:sz w:val="22"/>
          <w:szCs w:val="22"/>
        </w:rPr>
        <w:t xml:space="preserve">Mechanical assembly: chassis mounting, bracket installation, component alignment</w:t>
      </w:r>
    </w:p>
    <w:p>
      <w:pPr>
        <w:pStyle w:val="ListParagraph"/>
        <w:numPr>
          <w:ilvl w:val="0"/>
          <w:numId w:val="2"/>
        </w:numPr>
        <w:spacing w:after="80"/>
      </w:pPr>
      <w:r>
        <w:rPr>
          <w:rFonts w:ascii="Lato" w:cs="Lato" w:eastAsia="Lato" w:hAnsi="Lato"/>
          <w:color w:val="333333"/>
          <w:sz w:val="22"/>
          <w:szCs w:val="22"/>
        </w:rPr>
        <w:t xml:space="preserve">Electrical integration: PCBA mounting, connector wiring, power supply installation</w:t>
      </w:r>
    </w:p>
    <w:p>
      <w:pPr>
        <w:pStyle w:val="ListParagraph"/>
        <w:numPr>
          <w:ilvl w:val="0"/>
          <w:numId w:val="2"/>
        </w:numPr>
        <w:spacing w:after="80"/>
      </w:pPr>
      <w:r>
        <w:rPr>
          <w:rFonts w:ascii="Lato" w:cs="Lato" w:eastAsia="Lato" w:hAnsi="Lato"/>
          <w:color w:val="333333"/>
          <w:sz w:val="22"/>
          <w:szCs w:val="22"/>
        </w:rPr>
        <w:t xml:space="preserve">Cable routing and management within the enclosure</w:t>
      </w:r>
    </w:p>
    <w:p>
      <w:pPr>
        <w:pStyle w:val="ListParagraph"/>
        <w:numPr>
          <w:ilvl w:val="0"/>
          <w:numId w:val="2"/>
        </w:numPr>
        <w:spacing w:after="80"/>
      </w:pPr>
      <w:r>
        <w:rPr>
          <w:rFonts w:ascii="Lato" w:cs="Lato" w:eastAsia="Lato" w:hAnsi="Lato"/>
          <w:color w:val="333333"/>
          <w:sz w:val="22"/>
          <w:szCs w:val="22"/>
        </w:rPr>
        <w:t xml:space="preserve">Firmware loading and configuration</w:t>
      </w:r>
    </w:p>
    <w:p>
      <w:pPr>
        <w:pStyle w:val="ListParagraph"/>
        <w:numPr>
          <w:ilvl w:val="0"/>
          <w:numId w:val="2"/>
        </w:numPr>
        <w:spacing w:after="80"/>
      </w:pPr>
      <w:r>
        <w:rPr>
          <w:rFonts w:ascii="Lato" w:cs="Lato" w:eastAsia="Lato" w:hAnsi="Lato"/>
          <w:color w:val="333333"/>
          <w:sz w:val="22"/>
          <w:szCs w:val="22"/>
        </w:rPr>
        <w:t xml:space="preserve">Cosmetic inspection and final packaging</w:t>
      </w:r>
    </w:p>
    <w:p>
      <w:pPr>
        <w:spacing w:after="80"/>
      </w:pPr>
      <w:r>
        <w:rPr>
          <w:rFonts w:ascii="Lato" w:cs="Lato" w:eastAsia="Lato" w:hAnsi="Lato"/>
          <w:b/>
          <w:bCs/>
          <w:color w:val="2A4E64"/>
          <w:sz w:val="22"/>
          <w:szCs w:val="22"/>
        </w:rPr>
        <w:t xml:space="preserve">Industries served: </w:t>
      </w:r>
      <w:r>
        <w:rPr>
          <w:rFonts w:ascii="Lato" w:cs="Lato" w:eastAsia="Lato" w:hAnsi="Lato"/>
          <w:color w:val="333333"/>
          <w:sz w:val="22"/>
          <w:szCs w:val="22"/>
        </w:rPr>
        <w:t xml:space="preserve">AI server racks, industrial controls, telecom cabinets, medical device enclosures, energy equipment, appliance sub-assemblies.</w:t>
      </w:r>
    </w:p>
    <w:p>
      <w:pPr>
        <w:spacing w:after="160"/>
      </w:pPr>
      <w:r>
        <w:rPr>
          <w:rFonts w:ascii="Lato" w:cs="Lato" w:eastAsia="Lato" w:hAnsi="Lato"/>
          <w:b/>
          <w:bCs/>
          <w:color w:val="23555A"/>
          <w:sz w:val="22"/>
          <w:szCs w:val="22"/>
        </w:rPr>
        <w:t xml:space="preserve">Why it matters: </w:t>
      </w:r>
      <w:r>
        <w:rPr>
          <w:rFonts w:ascii="Lato" w:cs="Lato" w:eastAsia="Lato" w:hAnsi="Lato"/>
          <w:color w:val="333333"/>
          <w:sz w:val="22"/>
          <w:szCs w:val="22"/>
        </w:rPr>
        <w:t xml:space="preserve">Box build is the most comprehensive assembly service GPW offers. It consolidates mechanical assembly, electrical integration, cabling, and testing into a single program — eliminating the coordination overhead of managing multiple subcontractors.</w:t>
      </w:r>
    </w:p>
    <w:p>
      <w:pPr>
        <w:spacing w:after="160"/>
        <w:rPr>
          <w:b/>
          <w:bCs/>
          <w:i/>
          <w:iCs/>
          <w:color w:val="ED835E"/>
        </w:rPr>
      </w:pPr>
      <w:r>
        <w:rPr>
          <w:rFonts w:ascii="Lato" w:cs="Lato" w:eastAsia="Lato" w:hAnsi="Lato"/>
          <w:b/>
          <w:bCs/>
          <w:i/>
          <w:iCs/>
          <w:color w:val="ED835E"/>
          <w:sz w:val="22"/>
          <w:szCs w:val="22"/>
        </w:rPr>
        <w:t xml:space="preserve">Explore Box Build Assembly →</w:t>
      </w:r>
    </w:p>
    <w:p>
      <w:pPr>
        <w:pBdr>
          <w:bottom w:val="single" w:color="ADCF91" w:sz="6" w:space="1"/>
        </w:pBdr>
        <w:spacing w:after="200" w:before="200"/>
      </w:pPr>
    </w:p>
    <w:p>
      <w:pPr>
        <w:spacing w:after="120" w:before="240"/>
      </w:pPr>
      <w:r>
        <w:rPr>
          <w:rFonts w:ascii="Trirong" w:cs="Trirong" w:eastAsia="Trirong" w:hAnsi="Trirong"/>
          <w:b/>
          <w:bCs/>
          <w:color w:val="23555A"/>
          <w:sz w:val="24"/>
          <w:szCs w:val="24"/>
        </w:rPr>
        <w:t xml:space="preserve">Service 2: Cable &amp; Wire Harness Assembly</w:t>
      </w:r>
    </w:p>
    <w:p>
      <w:pPr>
        <w:spacing w:after="160"/>
      </w:pPr>
      <w:r>
        <w:rPr>
          <w:rFonts w:ascii="Lato" w:cs="Lato" w:eastAsia="Lato" w:hAnsi="Lato"/>
          <w:b/>
          <w:bCs/>
          <w:color w:val="23555A"/>
          <w:sz w:val="22"/>
          <w:szCs w:val="22"/>
        </w:rPr>
        <w:t xml:space="preserve">What it is: </w:t>
      </w:r>
      <w:r>
        <w:rPr>
          <w:rFonts w:ascii="Lato" w:cs="Lato" w:eastAsia="Lato" w:hAnsi="Lato"/>
          <w:color w:val="333333"/>
          <w:sz w:val="22"/>
          <w:szCs w:val="22"/>
        </w:rPr>
        <w:t xml:space="preserve">Cable and wire harness assembly is the fabrication and integration of organized cable bundles that connect electrical components within a product. GPW builds harnesses to specification — from simple point-to-point cables to complex multi-branch harnesses with hundreds of terminations.</w:t>
      </w:r>
    </w:p>
    <w:p>
      <w:pPr>
        <w:spacing w:after="160"/>
      </w:pPr>
      <w:r>
        <w:rPr>
          <w:rFonts w:ascii="Lato" w:cs="Lato" w:eastAsia="Lato" w:hAnsi="Lato"/>
          <w:b/>
          <w:bCs/>
          <w:color w:val="2A4E64"/>
          <w:sz w:val="22"/>
          <w:szCs w:val="22"/>
        </w:rPr>
        <w:t xml:space="preserve">What GPW delivers:</w:t>
      </w:r>
    </w:p>
    <w:p>
      <w:pPr>
        <w:pStyle w:val="ListParagraph"/>
        <w:numPr>
          <w:ilvl w:val="0"/>
          <w:numId w:val="2"/>
        </w:numPr>
        <w:spacing w:after="80"/>
      </w:pPr>
      <w:r>
        <w:rPr>
          <w:rFonts w:ascii="Lato" w:cs="Lato" w:eastAsia="Lato" w:hAnsi="Lato"/>
          <w:color w:val="333333"/>
          <w:sz w:val="22"/>
          <w:szCs w:val="22"/>
        </w:rPr>
        <w:t xml:space="preserve">Custom cable harness fabrication from engineering drawings or samples</w:t>
      </w:r>
    </w:p>
    <w:p>
      <w:pPr>
        <w:pStyle w:val="ListParagraph"/>
        <w:numPr>
          <w:ilvl w:val="0"/>
          <w:numId w:val="2"/>
        </w:numPr>
        <w:spacing w:after="80"/>
      </w:pPr>
      <w:r>
        <w:rPr>
          <w:rFonts w:ascii="Lato" w:cs="Lato" w:eastAsia="Lato" w:hAnsi="Lato"/>
          <w:color w:val="333333"/>
          <w:sz w:val="22"/>
          <w:szCs w:val="22"/>
        </w:rPr>
        <w:t xml:space="preserve">Crimping, soldering, and termination to IPC-A-620 workmanship standards</w:t>
      </w:r>
    </w:p>
    <w:p>
      <w:pPr>
        <w:pStyle w:val="ListParagraph"/>
        <w:numPr>
          <w:ilvl w:val="0"/>
          <w:numId w:val="2"/>
        </w:numPr>
        <w:spacing w:after="80"/>
      </w:pPr>
      <w:r>
        <w:rPr>
          <w:rFonts w:ascii="Lato" w:cs="Lato" w:eastAsia="Lato" w:hAnsi="Lato"/>
          <w:color w:val="333333"/>
          <w:sz w:val="22"/>
          <w:szCs w:val="22"/>
        </w:rPr>
        <w:t xml:space="preserve">Continuity testing and Hi-Pot testing for every harness</w:t>
      </w:r>
    </w:p>
    <w:p>
      <w:pPr>
        <w:pStyle w:val="ListParagraph"/>
        <w:numPr>
          <w:ilvl w:val="0"/>
          <w:numId w:val="2"/>
        </w:numPr>
        <w:spacing w:after="80"/>
      </w:pPr>
      <w:r>
        <w:rPr>
          <w:rFonts w:ascii="Lato" w:cs="Lato" w:eastAsia="Lato" w:hAnsi="Lato"/>
          <w:color w:val="333333"/>
          <w:sz w:val="22"/>
          <w:szCs w:val="22"/>
        </w:rPr>
        <w:t xml:space="preserve">Labeling and identification per customer specifications</w:t>
      </w:r>
    </w:p>
    <w:p>
      <w:pPr>
        <w:pStyle w:val="ListParagraph"/>
        <w:numPr>
          <w:ilvl w:val="0"/>
          <w:numId w:val="2"/>
        </w:numPr>
        <w:spacing w:after="80"/>
      </w:pPr>
      <w:r>
        <w:rPr>
          <w:rFonts w:ascii="Lato" w:cs="Lato" w:eastAsia="Lato" w:hAnsi="Lato"/>
          <w:color w:val="333333"/>
          <w:sz w:val="22"/>
          <w:szCs w:val="22"/>
        </w:rPr>
        <w:t xml:space="preserve">Integration into box builds or system-level assemblies</w:t>
      </w:r>
    </w:p>
    <w:p>
      <w:pPr>
        <w:spacing w:after="80"/>
      </w:pPr>
      <w:r>
        <w:rPr>
          <w:rFonts w:ascii="Lato" w:cs="Lato" w:eastAsia="Lato" w:hAnsi="Lato"/>
          <w:b/>
          <w:bCs/>
          <w:color w:val="2A4E64"/>
          <w:sz w:val="22"/>
          <w:szCs w:val="22"/>
        </w:rPr>
        <w:t xml:space="preserve">Industries served: </w:t>
      </w:r>
      <w:r>
        <w:rPr>
          <w:rFonts w:ascii="Lato" w:cs="Lato" w:eastAsia="Lato" w:hAnsi="Lato"/>
          <w:color w:val="333333"/>
          <w:sz w:val="22"/>
          <w:szCs w:val="22"/>
        </w:rPr>
        <w:t xml:space="preserve">All 8 verticals — cable harnesses are a universal component across AI server racks, telecom systems, medical devices, automotive sub-assemblies, aerospace systems, industrial equipment, energy cabinets, and appliances.</w:t>
      </w:r>
    </w:p>
    <w:p>
      <w:pPr>
        <w:spacing w:after="160"/>
      </w:pPr>
      <w:r>
        <w:rPr>
          <w:rFonts w:ascii="Lato" w:cs="Lato" w:eastAsia="Lato" w:hAnsi="Lato"/>
          <w:b/>
          <w:bCs/>
          <w:color w:val="23555A"/>
          <w:sz w:val="22"/>
          <w:szCs w:val="22"/>
        </w:rPr>
        <w:t xml:space="preserve">Why it matters: </w:t>
      </w:r>
      <w:r>
        <w:rPr>
          <w:rFonts w:ascii="Lato" w:cs="Lato" w:eastAsia="Lato" w:hAnsi="Lato"/>
          <w:color w:val="333333"/>
          <w:sz w:val="22"/>
          <w:szCs w:val="22"/>
        </w:rPr>
        <w:t xml:space="preserve">Cable harnesses carry power and signal throughout your product. A single faulty crimp or mislabeled connector can shut down an entire system. GPW treats cabling as a precision discipline — not an afterthought squeezed between mechanical and electrical assembly.</w:t>
      </w:r>
    </w:p>
    <w:p>
      <w:pPr>
        <w:spacing w:after="160"/>
        <w:rPr>
          <w:b/>
          <w:bCs/>
          <w:i/>
          <w:iCs/>
          <w:color w:val="ED835E"/>
        </w:rPr>
      </w:pPr>
      <w:r>
        <w:rPr>
          <w:rFonts w:ascii="Lato" w:cs="Lato" w:eastAsia="Lato" w:hAnsi="Lato"/>
          <w:b/>
          <w:bCs/>
          <w:i/>
          <w:iCs/>
          <w:color w:val="ED835E"/>
          <w:sz w:val="22"/>
          <w:szCs w:val="22"/>
        </w:rPr>
        <w:t xml:space="preserve">Explore Cable &amp; Harness Assembly →</w:t>
      </w:r>
    </w:p>
    <w:p>
      <w:pPr>
        <w:pBdr>
          <w:bottom w:val="single" w:color="ADCF91" w:sz="6" w:space="1"/>
        </w:pBdr>
        <w:spacing w:after="200" w:before="200"/>
      </w:pPr>
    </w:p>
    <w:p>
      <w:pPr>
        <w:spacing w:after="120" w:before="240"/>
      </w:pPr>
      <w:r>
        <w:rPr>
          <w:rFonts w:ascii="Trirong" w:cs="Trirong" w:eastAsia="Trirong" w:hAnsi="Trirong"/>
          <w:b/>
          <w:bCs/>
          <w:color w:val="23555A"/>
          <w:sz w:val="24"/>
          <w:szCs w:val="24"/>
        </w:rPr>
        <w:t xml:space="preserve">Service 3: System Integration</w:t>
      </w:r>
    </w:p>
    <w:p>
      <w:pPr>
        <w:spacing w:after="160"/>
      </w:pPr>
      <w:r>
        <w:rPr>
          <w:rFonts w:ascii="Lato" w:cs="Lato" w:eastAsia="Lato" w:hAnsi="Lato"/>
          <w:b/>
          <w:bCs/>
          <w:color w:val="23555A"/>
          <w:sz w:val="22"/>
          <w:szCs w:val="22"/>
        </w:rPr>
        <w:t xml:space="preserve">What it is: </w:t>
      </w:r>
      <w:r>
        <w:rPr>
          <w:rFonts w:ascii="Lato" w:cs="Lato" w:eastAsia="Lato" w:hAnsi="Lato"/>
          <w:color w:val="333333"/>
          <w:sz w:val="22"/>
          <w:szCs w:val="22"/>
        </w:rPr>
        <w:t xml:space="preserve">System integration is the process of combining multiple sub-assemblies, modules, and components into a complete, functional system. GPW manages the full integration sequence — mechanical structure, component mounting, cable routing, electrical connections, firmware loading, and functional validation — delivering a system that is ready for deployment.</w:t>
      </w:r>
    </w:p>
    <w:p>
      <w:pPr>
        <w:spacing w:after="160"/>
      </w:pPr>
      <w:r>
        <w:rPr>
          <w:rFonts w:ascii="Lato" w:cs="Lato" w:eastAsia="Lato" w:hAnsi="Lato"/>
          <w:b/>
          <w:bCs/>
          <w:color w:val="2A4E64"/>
          <w:sz w:val="22"/>
          <w:szCs w:val="22"/>
        </w:rPr>
        <w:t xml:space="preserve">What GPW delivers:</w:t>
      </w:r>
    </w:p>
    <w:p>
      <w:pPr>
        <w:pStyle w:val="ListParagraph"/>
        <w:numPr>
          <w:ilvl w:val="0"/>
          <w:numId w:val="2"/>
        </w:numPr>
        <w:spacing w:after="80"/>
      </w:pPr>
      <w:r>
        <w:rPr>
          <w:rFonts w:ascii="Lato" w:cs="Lato" w:eastAsia="Lato" w:hAnsi="Lato"/>
          <w:color w:val="333333"/>
          <w:sz w:val="22"/>
          <w:szCs w:val="22"/>
        </w:rPr>
        <w:t xml:space="preserve">Multi-stage assembly sequencing across mechanical, electrical, and cabling disciplines</w:t>
      </w:r>
    </w:p>
    <w:p>
      <w:pPr>
        <w:pStyle w:val="ListParagraph"/>
        <w:numPr>
          <w:ilvl w:val="0"/>
          <w:numId w:val="2"/>
        </w:numPr>
        <w:spacing w:after="80"/>
      </w:pPr>
      <w:r>
        <w:rPr>
          <w:rFonts w:ascii="Lato" w:cs="Lato" w:eastAsia="Lato" w:hAnsi="Lato"/>
          <w:color w:val="333333"/>
          <w:sz w:val="22"/>
          <w:szCs w:val="22"/>
        </w:rPr>
        <w:t xml:space="preserve">Sub-assembly integration: combining pre-built modules into a larger system</w:t>
      </w:r>
    </w:p>
    <w:p>
      <w:pPr>
        <w:pStyle w:val="ListParagraph"/>
        <w:numPr>
          <w:ilvl w:val="0"/>
          <w:numId w:val="2"/>
        </w:numPr>
        <w:spacing w:after="80"/>
      </w:pPr>
      <w:r>
        <w:rPr>
          <w:rFonts w:ascii="Lato" w:cs="Lato" w:eastAsia="Lato" w:hAnsi="Lato"/>
          <w:color w:val="333333"/>
          <w:sz w:val="22"/>
          <w:szCs w:val="22"/>
        </w:rPr>
        <w:t xml:space="preserve">Firmware loading, software configuration, and system initialization</w:t>
      </w:r>
    </w:p>
    <w:p>
      <w:pPr>
        <w:pStyle w:val="ListParagraph"/>
        <w:numPr>
          <w:ilvl w:val="0"/>
          <w:numId w:val="2"/>
        </w:numPr>
        <w:spacing w:after="80"/>
      </w:pPr>
      <w:r>
        <w:rPr>
          <w:rFonts w:ascii="Lato" w:cs="Lato" w:eastAsia="Lato" w:hAnsi="Lato"/>
          <w:color w:val="333333"/>
          <w:sz w:val="22"/>
          <w:szCs w:val="22"/>
        </w:rPr>
        <w:t xml:space="preserve">End-to-end functional testing and validation</w:t>
      </w:r>
    </w:p>
    <w:p>
      <w:pPr>
        <w:pStyle w:val="ListParagraph"/>
        <w:numPr>
          <w:ilvl w:val="0"/>
          <w:numId w:val="2"/>
        </w:numPr>
        <w:spacing w:after="80"/>
      </w:pPr>
      <w:r>
        <w:rPr>
          <w:rFonts w:ascii="Lato" w:cs="Lato" w:eastAsia="Lato" w:hAnsi="Lato"/>
          <w:color w:val="333333"/>
          <w:sz w:val="22"/>
          <w:szCs w:val="22"/>
        </w:rPr>
        <w:t xml:space="preserve">Packaging and logistics coordination for finished systems</w:t>
      </w:r>
    </w:p>
    <w:p>
      <w:pPr>
        <w:spacing w:after="80"/>
      </w:pPr>
      <w:r>
        <w:rPr>
          <w:rFonts w:ascii="Lato" w:cs="Lato" w:eastAsia="Lato" w:hAnsi="Lato"/>
          <w:b/>
          <w:bCs/>
          <w:color w:val="2A4E64"/>
          <w:sz w:val="22"/>
          <w:szCs w:val="22"/>
        </w:rPr>
        <w:t xml:space="preserve">Industries served: </w:t>
      </w:r>
      <w:r>
        <w:rPr>
          <w:rFonts w:ascii="Lato" w:cs="Lato" w:eastAsia="Lato" w:hAnsi="Lato"/>
          <w:color w:val="333333"/>
          <w:sz w:val="22"/>
          <w:szCs w:val="22"/>
        </w:rPr>
        <w:t xml:space="preserve">AI server rack integration (multi-node configurations), telecom system builds, industrial equipment assembly, energy sector cabinet integration, aerospace sub-system assembly.</w:t>
      </w:r>
    </w:p>
    <w:p>
      <w:pPr>
        <w:spacing w:after="160"/>
      </w:pPr>
      <w:r>
        <w:rPr>
          <w:rFonts w:ascii="Lato" w:cs="Lato" w:eastAsia="Lato" w:hAnsi="Lato"/>
          <w:b/>
          <w:bCs/>
          <w:color w:val="23555A"/>
          <w:sz w:val="22"/>
          <w:szCs w:val="22"/>
        </w:rPr>
        <w:t xml:space="preserve">Why it matters: </w:t>
      </w:r>
      <w:r>
        <w:rPr>
          <w:rFonts w:ascii="Lato" w:cs="Lato" w:eastAsia="Lato" w:hAnsi="Lato"/>
          <w:color w:val="333333"/>
          <w:sz w:val="22"/>
          <w:szCs w:val="22"/>
        </w:rPr>
        <w:t xml:space="preserve">System integration is where complexity compounds. Each additional sub-assembly multiplies the coordination required — and the opportunities for error. GPW assigns dedicated program managers to system integration projects, ensuring every interface, every cable route, and every test protocol is documented and controlled.</w:t>
      </w:r>
    </w:p>
    <w:p>
      <w:pPr>
        <w:spacing w:after="160"/>
        <w:rPr>
          <w:b/>
          <w:bCs/>
          <w:i/>
          <w:iCs/>
          <w:color w:val="ED835E"/>
        </w:rPr>
      </w:pPr>
      <w:r>
        <w:rPr>
          <w:rFonts w:ascii="Lato" w:cs="Lato" w:eastAsia="Lato" w:hAnsi="Lato"/>
          <w:b/>
          <w:bCs/>
          <w:i/>
          <w:iCs/>
          <w:color w:val="ED835E"/>
          <w:sz w:val="22"/>
          <w:szCs w:val="22"/>
        </w:rPr>
        <w:t xml:space="preserve">Explore System Integration →</w:t>
      </w:r>
    </w:p>
    <w:p>
      <w:pPr>
        <w:pBdr>
          <w:bottom w:val="single" w:color="ADCF91" w:sz="6" w:space="1"/>
        </w:pBdr>
        <w:spacing w:after="200" w:before="200"/>
      </w:pPr>
    </w:p>
    <w:p>
      <w:pPr>
        <w:spacing w:after="120" w:before="240"/>
      </w:pPr>
      <w:r>
        <w:rPr>
          <w:rFonts w:ascii="Trirong" w:cs="Trirong" w:eastAsia="Trirong" w:hAnsi="Trirong"/>
          <w:b/>
          <w:bCs/>
          <w:color w:val="23555A"/>
          <w:sz w:val="24"/>
          <w:szCs w:val="24"/>
        </w:rPr>
        <w:t xml:space="preserve">Service 4: Testing &amp; Inspection</w:t>
      </w:r>
    </w:p>
    <w:p>
      <w:pPr>
        <w:spacing w:after="160"/>
      </w:pPr>
      <w:r>
        <w:rPr>
          <w:rFonts w:ascii="Lato" w:cs="Lato" w:eastAsia="Lato" w:hAnsi="Lato"/>
          <w:b/>
          <w:bCs/>
          <w:color w:val="23555A"/>
          <w:sz w:val="22"/>
          <w:szCs w:val="22"/>
        </w:rPr>
        <w:t xml:space="preserve">What it is: </w:t>
      </w:r>
      <w:r>
        <w:rPr>
          <w:rFonts w:ascii="Lato" w:cs="Lato" w:eastAsia="Lato" w:hAnsi="Lato"/>
          <w:color w:val="333333"/>
          <w:sz w:val="22"/>
          <w:szCs w:val="22"/>
        </w:rPr>
        <w:t xml:space="preserve">Testing and inspection encompasses all quality validation activities performed during and after assembly — from in-process inspection gates to end-of-line functional testing, burn-in, and Hi-Pot testing. GPW integrates testing into the production line rather than treating it as a separate post-assembly step.</w:t>
      </w:r>
    </w:p>
    <w:p>
      <w:pPr>
        <w:spacing w:after="160"/>
      </w:pPr>
      <w:r>
        <w:rPr>
          <w:rFonts w:ascii="Lato" w:cs="Lato" w:eastAsia="Lato" w:hAnsi="Lato"/>
          <w:b/>
          <w:bCs/>
          <w:color w:val="2A4E64"/>
          <w:sz w:val="22"/>
          <w:szCs w:val="22"/>
        </w:rPr>
        <w:t xml:space="preserve">What GPW delivers:</w:t>
      </w:r>
    </w:p>
    <w:p>
      <w:pPr>
        <w:pStyle w:val="ListParagraph"/>
        <w:numPr>
          <w:ilvl w:val="0"/>
          <w:numId w:val="2"/>
        </w:numPr>
        <w:spacing w:after="80"/>
      </w:pPr>
      <w:r>
        <w:rPr>
          <w:rFonts w:ascii="Lato" w:cs="Lato" w:eastAsia="Lato" w:hAnsi="Lato"/>
          <w:color w:val="333333"/>
          <w:sz w:val="22"/>
          <w:szCs w:val="22"/>
        </w:rPr>
        <w:t xml:space="preserve">First article inspection (FAI) on every new program before production ramp</w:t>
      </w:r>
    </w:p>
    <w:p>
      <w:pPr>
        <w:pStyle w:val="ListParagraph"/>
        <w:numPr>
          <w:ilvl w:val="0"/>
          <w:numId w:val="2"/>
        </w:numPr>
        <w:spacing w:after="80"/>
      </w:pPr>
      <w:r>
        <w:rPr>
          <w:rFonts w:ascii="Lato" w:cs="Lato" w:eastAsia="Lato" w:hAnsi="Lato"/>
          <w:color w:val="333333"/>
          <w:sz w:val="22"/>
          <w:szCs w:val="22"/>
        </w:rPr>
        <w:t xml:space="preserve">In-process quality gates at critical assembly stations</w:t>
      </w:r>
    </w:p>
    <w:p>
      <w:pPr>
        <w:pStyle w:val="ListParagraph"/>
        <w:numPr>
          <w:ilvl w:val="0"/>
          <w:numId w:val="2"/>
        </w:numPr>
        <w:spacing w:after="80"/>
      </w:pPr>
      <w:r>
        <w:rPr>
          <w:rFonts w:ascii="Lato" w:cs="Lato" w:eastAsia="Lato" w:hAnsi="Lato"/>
          <w:color w:val="333333"/>
          <w:sz w:val="22"/>
          <w:szCs w:val="22"/>
        </w:rPr>
        <w:t xml:space="preserve">End-of-line functional testing with documented pass/fail criteria</w:t>
      </w:r>
    </w:p>
    <w:p>
      <w:pPr>
        <w:pStyle w:val="ListParagraph"/>
        <w:numPr>
          <w:ilvl w:val="0"/>
          <w:numId w:val="2"/>
        </w:numPr>
        <w:spacing w:after="80"/>
      </w:pPr>
      <w:r>
        <w:rPr>
          <w:rFonts w:ascii="Lato" w:cs="Lato" w:eastAsia="Lato" w:hAnsi="Lato"/>
          <w:color w:val="333333"/>
          <w:sz w:val="22"/>
          <w:szCs w:val="22"/>
        </w:rPr>
        <w:t xml:space="preserve">Burn-in testing for products requiring extended operational validation</w:t>
      </w:r>
    </w:p>
    <w:p>
      <w:pPr>
        <w:pStyle w:val="ListParagraph"/>
        <w:numPr>
          <w:ilvl w:val="0"/>
          <w:numId w:val="2"/>
        </w:numPr>
        <w:spacing w:after="80"/>
      </w:pPr>
      <w:r>
        <w:rPr>
          <w:rFonts w:ascii="Lato" w:cs="Lato" w:eastAsia="Lato" w:hAnsi="Lato"/>
          <w:color w:val="333333"/>
          <w:sz w:val="22"/>
          <w:szCs w:val="22"/>
        </w:rPr>
        <w:t xml:space="preserve">Hi-Pot (high potential) testing for electrical safety compliance</w:t>
      </w:r>
    </w:p>
    <w:p>
      <w:pPr>
        <w:pStyle w:val="ListParagraph"/>
        <w:numPr>
          <w:ilvl w:val="0"/>
          <w:numId w:val="2"/>
        </w:numPr>
        <w:spacing w:after="80"/>
      </w:pPr>
      <w:r>
        <w:rPr>
          <w:rFonts w:ascii="Lato" w:cs="Lato" w:eastAsia="Lato" w:hAnsi="Lato"/>
          <w:color w:val="333333"/>
          <w:sz w:val="22"/>
          <w:szCs w:val="22"/>
        </w:rPr>
        <w:t xml:space="preserve">Full BOM-level component traceability from receiving to shipment</w:t>
      </w:r>
    </w:p>
    <w:p>
      <w:pPr>
        <w:spacing w:after="80"/>
      </w:pPr>
      <w:r>
        <w:rPr>
          <w:rFonts w:ascii="Lato" w:cs="Lato" w:eastAsia="Lato" w:hAnsi="Lato"/>
          <w:b/>
          <w:bCs/>
          <w:color w:val="2A4E64"/>
          <w:sz w:val="22"/>
          <w:szCs w:val="22"/>
        </w:rPr>
        <w:t xml:space="preserve">Industries served: </w:t>
      </w:r>
      <w:r>
        <w:rPr>
          <w:rFonts w:ascii="Lato" w:cs="Lato" w:eastAsia="Lato" w:hAnsi="Lato"/>
          <w:color w:val="333333"/>
          <w:sz w:val="22"/>
          <w:szCs w:val="22"/>
        </w:rPr>
        <w:t xml:space="preserve">All 8 verticals — every product GPW assembles passes through testing and inspection. Medical devices, aerospace sub-assemblies, and AI server racks typically require the most rigorous testing protocols.</w:t>
      </w:r>
    </w:p>
    <w:p>
      <w:pPr>
        <w:spacing w:after="160"/>
      </w:pPr>
      <w:r>
        <w:rPr>
          <w:rFonts w:ascii="Lato" w:cs="Lato" w:eastAsia="Lato" w:hAnsi="Lato"/>
          <w:b/>
          <w:bCs/>
          <w:color w:val="23555A"/>
          <w:sz w:val="22"/>
          <w:szCs w:val="22"/>
        </w:rPr>
        <w:t xml:space="preserve">Why it matters: </w:t>
      </w:r>
      <w:r>
        <w:rPr>
          <w:rFonts w:ascii="Lato" w:cs="Lato" w:eastAsia="Lato" w:hAnsi="Lato"/>
          <w:color w:val="333333"/>
          <w:sz w:val="22"/>
          <w:szCs w:val="22"/>
        </w:rPr>
        <w:t xml:space="preserve">Testing is not a final checkbox. It is integrated into every stage of GPW’s assembly process. Catching a defect at station 3 costs a fraction of catching it at end-of-line — and orders of magnitude less than catching it at the customer’s dock.</w:t>
      </w:r>
    </w:p>
    <w:p>
      <w:pPr>
        <w:spacing w:after="160"/>
        <w:rPr>
          <w:b/>
          <w:bCs/>
          <w:i/>
          <w:iCs/>
          <w:color w:val="ED835E"/>
        </w:rPr>
      </w:pPr>
      <w:r>
        <w:rPr>
          <w:rFonts w:ascii="Lato" w:cs="Lato" w:eastAsia="Lato" w:hAnsi="Lato"/>
          <w:b/>
          <w:bCs/>
          <w:i/>
          <w:iCs/>
          <w:color w:val="ED835E"/>
          <w:sz w:val="22"/>
          <w:szCs w:val="22"/>
        </w:rPr>
        <w:t xml:space="preserve">Explore Testing &amp; Inspection →</w:t>
      </w:r>
    </w:p>
    <w:p>
      <w:pPr>
        <w:pBdr>
          <w:bottom w:val="single" w:color="ADCF91" w:sz="6" w:space="1"/>
        </w:pBdr>
        <w:spacing w:after="200" w:before="200"/>
      </w:pPr>
    </w:p>
    <w:p>
      <w:pPr>
        <w:spacing w:after="120" w:before="240"/>
      </w:pPr>
      <w:r>
        <w:rPr>
          <w:rFonts w:ascii="Trirong" w:cs="Trirong" w:eastAsia="Trirong" w:hAnsi="Trirong"/>
          <w:b/>
          <w:bCs/>
          <w:color w:val="23555A"/>
          <w:sz w:val="24"/>
          <w:szCs w:val="24"/>
        </w:rPr>
        <w:t xml:space="preserve">Service 5: Enclosure &amp; Cabinet Assembly</w:t>
      </w:r>
    </w:p>
    <w:p>
      <w:pPr>
        <w:spacing w:after="160"/>
      </w:pPr>
      <w:r>
        <w:rPr>
          <w:rFonts w:ascii="Lato" w:cs="Lato" w:eastAsia="Lato" w:hAnsi="Lato"/>
          <w:b/>
          <w:bCs/>
          <w:color w:val="23555A"/>
          <w:sz w:val="22"/>
          <w:szCs w:val="22"/>
        </w:rPr>
        <w:t xml:space="preserve">What it is: </w:t>
      </w:r>
      <w:r>
        <w:rPr>
          <w:rFonts w:ascii="Lato" w:cs="Lato" w:eastAsia="Lato" w:hAnsi="Lato"/>
          <w:color w:val="333333"/>
          <w:sz w:val="22"/>
          <w:szCs w:val="22"/>
        </w:rPr>
        <w:t xml:space="preserve">Enclosure and cabinet assembly is the mechanical construction and integration of housings, racks, cabinets, and chassis that protect and organize electronic and electromechanical components. GPW assembles enclosures from sheet metal, extruded aluminum, or customer-supplied housings — and integrates all internal components into a finished unit.</w:t>
      </w:r>
    </w:p>
    <w:p>
      <w:pPr>
        <w:spacing w:after="160"/>
      </w:pPr>
      <w:r>
        <w:rPr>
          <w:rFonts w:ascii="Lato" w:cs="Lato" w:eastAsia="Lato" w:hAnsi="Lato"/>
          <w:b/>
          <w:bCs/>
          <w:color w:val="2A4E64"/>
          <w:sz w:val="22"/>
          <w:szCs w:val="22"/>
        </w:rPr>
        <w:t xml:space="preserve">What GPW delivers:</w:t>
      </w:r>
    </w:p>
    <w:p>
      <w:pPr>
        <w:pStyle w:val="ListParagraph"/>
        <w:numPr>
          <w:ilvl w:val="0"/>
          <w:numId w:val="2"/>
        </w:numPr>
        <w:spacing w:after="80"/>
      </w:pPr>
      <w:r>
        <w:rPr>
          <w:rFonts w:ascii="Lato" w:cs="Lato" w:eastAsia="Lato" w:hAnsi="Lato"/>
          <w:color w:val="333333"/>
          <w:sz w:val="22"/>
          <w:szCs w:val="22"/>
        </w:rPr>
        <w:t xml:space="preserve">Mechanical assembly of enclosures, racks, and cabinets from customer-supplied or sourced components</w:t>
      </w:r>
    </w:p>
    <w:p>
      <w:pPr>
        <w:pStyle w:val="ListParagraph"/>
        <w:numPr>
          <w:ilvl w:val="0"/>
          <w:numId w:val="2"/>
        </w:numPr>
        <w:spacing w:after="80"/>
      </w:pPr>
      <w:r>
        <w:rPr>
          <w:rFonts w:ascii="Lato" w:cs="Lato" w:eastAsia="Lato" w:hAnsi="Lato"/>
          <w:color w:val="333333"/>
          <w:sz w:val="22"/>
          <w:szCs w:val="22"/>
        </w:rPr>
        <w:t xml:space="preserve">DIN rail mounting, panel wiring, and terminal block installation</w:t>
      </w:r>
    </w:p>
    <w:p>
      <w:pPr>
        <w:pStyle w:val="ListParagraph"/>
        <w:numPr>
          <w:ilvl w:val="0"/>
          <w:numId w:val="2"/>
        </w:numPr>
        <w:spacing w:after="80"/>
      </w:pPr>
      <w:r>
        <w:rPr>
          <w:rFonts w:ascii="Lato" w:cs="Lato" w:eastAsia="Lato" w:hAnsi="Lato"/>
          <w:color w:val="333333"/>
          <w:sz w:val="22"/>
          <w:szCs w:val="22"/>
        </w:rPr>
        <w:t xml:space="preserve">Thermal management integration (fans, heat sinks, airflow routing)</w:t>
      </w:r>
    </w:p>
    <w:p>
      <w:pPr>
        <w:pStyle w:val="ListParagraph"/>
        <w:numPr>
          <w:ilvl w:val="0"/>
          <w:numId w:val="2"/>
        </w:numPr>
        <w:spacing w:after="80"/>
      </w:pPr>
      <w:r>
        <w:rPr>
          <w:rFonts w:ascii="Lato" w:cs="Lato" w:eastAsia="Lato" w:hAnsi="Lato"/>
          <w:color w:val="333333"/>
          <w:sz w:val="22"/>
          <w:szCs w:val="22"/>
        </w:rPr>
        <w:t xml:space="preserve">Door assemblies, cable entry points, and environmental sealing</w:t>
      </w:r>
    </w:p>
    <w:p>
      <w:pPr>
        <w:pStyle w:val="ListParagraph"/>
        <w:numPr>
          <w:ilvl w:val="0"/>
          <w:numId w:val="2"/>
        </w:numPr>
        <w:spacing w:after="80"/>
      </w:pPr>
      <w:r>
        <w:rPr>
          <w:rFonts w:ascii="Lato" w:cs="Lato" w:eastAsia="Lato" w:hAnsi="Lato"/>
          <w:color w:val="333333"/>
          <w:sz w:val="22"/>
          <w:szCs w:val="22"/>
        </w:rPr>
        <w:t xml:space="preserve">Labeling, engraving, and cosmetic finishing per customer specifications</w:t>
      </w:r>
    </w:p>
    <w:p>
      <w:pPr>
        <w:spacing w:after="80"/>
      </w:pPr>
      <w:r>
        <w:rPr>
          <w:rFonts w:ascii="Lato" w:cs="Lato" w:eastAsia="Lato" w:hAnsi="Lato"/>
          <w:b/>
          <w:bCs/>
          <w:color w:val="2A4E64"/>
          <w:sz w:val="22"/>
          <w:szCs w:val="22"/>
        </w:rPr>
        <w:t xml:space="preserve">Industries served: </w:t>
      </w:r>
      <w:r>
        <w:rPr>
          <w:rFonts w:ascii="Lato" w:cs="Lato" w:eastAsia="Lato" w:hAnsi="Lato"/>
          <w:color w:val="333333"/>
          <w:sz w:val="22"/>
          <w:szCs w:val="22"/>
        </w:rPr>
        <w:t xml:space="preserve">Telecom cabinets, energy equipment housings, industrial control panels, AI server racks (42U and custom configurations), medical device enclosures, aerospace equipment housings.</w:t>
      </w:r>
    </w:p>
    <w:p>
      <w:pPr>
        <w:spacing w:after="160"/>
      </w:pPr>
      <w:r>
        <w:rPr>
          <w:rFonts w:ascii="Lato" w:cs="Lato" w:eastAsia="Lato" w:hAnsi="Lato"/>
          <w:b/>
          <w:bCs/>
          <w:color w:val="23555A"/>
          <w:sz w:val="22"/>
          <w:szCs w:val="22"/>
        </w:rPr>
        <w:t xml:space="preserve">Why it matters: </w:t>
      </w:r>
      <w:r>
        <w:rPr>
          <w:rFonts w:ascii="Lato" w:cs="Lato" w:eastAsia="Lato" w:hAnsi="Lato"/>
          <w:color w:val="333333"/>
          <w:sz w:val="22"/>
          <w:szCs w:val="22"/>
        </w:rPr>
        <w:t xml:space="preserve">The enclosure is what your customer sees and touches. It protects the electronics inside, manages thermal loads, and determines how field technicians access and service the product. GPW treats enclosure assembly as precision work — not just metal bending and bolt tightening.</w:t>
      </w:r>
    </w:p>
    <w:p>
      <w:pPr>
        <w:spacing w:after="160"/>
        <w:rPr>
          <w:b/>
          <w:bCs/>
          <w:i/>
          <w:iCs/>
          <w:color w:val="ED835E"/>
        </w:rPr>
      </w:pPr>
      <w:r>
        <w:rPr>
          <w:rFonts w:ascii="Lato" w:cs="Lato" w:eastAsia="Lato" w:hAnsi="Lato"/>
          <w:b/>
          <w:bCs/>
          <w:i/>
          <w:iCs/>
          <w:color w:val="ED835E"/>
          <w:sz w:val="22"/>
          <w:szCs w:val="22"/>
        </w:rPr>
        <w:t xml:space="preserve">Explore Enclosure &amp; Cabinet Assembly →</w:t>
      </w:r>
    </w:p>
    <w:p>
      <w:pPr>
        <w:pBdr>
          <w:bottom w:val="single" w:color="ADCF91" w:sz="6" w:space="1"/>
        </w:pBdr>
        <w:spacing w:after="200" w:before="200"/>
      </w:pPr>
    </w:p>
    <w:p>
      <w:pPr>
        <w:spacing w:after="80" w:before="200"/>
      </w:pPr>
      <w:r>
        <w:rPr>
          <w:rFonts w:ascii="Lato" w:cs="Lato" w:eastAsia="Lato" w:hAnsi="Lato"/>
          <w:b/>
          <w:bCs/>
          <w:color w:val="2A4E64"/>
          <w:sz w:val="22"/>
          <w:szCs w:val="22"/>
        </w:rPr>
        <w:t xml:space="preserve">Ready to scope your project? </w:t>
      </w:r>
      <w:r>
        <w:rPr>
          <w:rFonts w:ascii="Lato" w:cs="Lato" w:eastAsia="Lato" w:hAnsi="Lato"/>
          <w:color w:val="333333"/>
          <w:sz w:val="22"/>
          <w:szCs w:val="22"/>
        </w:rPr>
        <w:t xml:space="preserve">GPW’s engineering team reviews every RFQ for technical feasibility before quoting. Submit your BOM and specifications — no commitment, no minimum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 →</w:t>
            </w:r>
          </w:p>
        </w:tc>
      </w:tr>
    </w:tbl>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Which Services Does Your Project Need?</w:t>
      </w:r>
    </w:p>
    <w:p>
      <w:pPr>
        <w:spacing w:after="160"/>
      </w:pPr>
      <w:r>
        <w:rPr>
          <w:rFonts w:ascii="Lato" w:cs="Lato" w:eastAsia="Lato" w:hAnsi="Lato"/>
          <w:color w:val="333333"/>
          <w:sz w:val="22"/>
          <w:szCs w:val="22"/>
        </w:rPr>
        <w:t xml:space="preserve">Most OEM assembly programs require more than one service. A typical project follows a natural progression — from cable harness fabrication, to component integration inside an enclosure, to full system-level assembly and testing. The table below shows how GPW’s five services combine across common project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E0E0E0" w:sz="1"/>
              <w:left w:val="single" w:color="E0E0E0" w:sz="1"/>
              <w:bottom w:val="single" w:color="E0E0E0" w:sz="1"/>
              <w:right w:val="single" w:color="E0E0E0" w:sz="1"/>
            </w:tcBorders>
            <w:shd w:fill="23555A" w:val="clear"/>
            <w:tcMar>
              <w:top w:type="dxa" w:w="60"/>
              <w:left w:type="dxa" w:w="80"/>
              <w:bottom w:type="dxa" w:w="60"/>
              <w:right w:type="dxa" w:w="80"/>
            </w:tcMar>
          </w:tcPr>
          <w:p>
            <w:pPr>
              <w:jc w:val="center"/>
            </w:pPr>
            <w:r>
              <w:rPr>
                <w:rFonts w:ascii="Lato" w:cs="Lato" w:eastAsia="Lato" w:hAnsi="Lato"/>
                <w:b/>
                <w:bCs/>
                <w:color w:val="FFFFFF"/>
                <w:sz w:val="16"/>
                <w:szCs w:val="16"/>
              </w:rPr>
              <w:t xml:space="preserve">Project Type</w:t>
            </w:r>
          </w:p>
        </w:tc>
        <w:tc>
          <w:tcPr>
            <w:tcW w:type="dxa" w:w="1432"/>
            <w:tcBorders>
              <w:top w:val="single" w:color="E0E0E0" w:sz="1"/>
              <w:left w:val="single" w:color="E0E0E0" w:sz="1"/>
              <w:bottom w:val="single" w:color="E0E0E0" w:sz="1"/>
              <w:right w:val="single" w:color="E0E0E0" w:sz="1"/>
            </w:tcBorders>
            <w:shd w:fill="23555A" w:val="clear"/>
            <w:tcMar>
              <w:top w:type="dxa" w:w="60"/>
              <w:left w:type="dxa" w:w="80"/>
              <w:bottom w:type="dxa" w:w="60"/>
              <w:right w:type="dxa" w:w="80"/>
            </w:tcMar>
          </w:tcPr>
          <w:p>
            <w:pPr>
              <w:jc w:val="center"/>
            </w:pPr>
            <w:r>
              <w:rPr>
                <w:rFonts w:ascii="Lato" w:cs="Lato" w:eastAsia="Lato" w:hAnsi="Lato"/>
                <w:b/>
                <w:bCs/>
                <w:color w:val="FFFFFF"/>
                <w:sz w:val="16"/>
                <w:szCs w:val="16"/>
              </w:rPr>
              <w:t xml:space="preserve">Box Build</w:t>
            </w:r>
          </w:p>
        </w:tc>
        <w:tc>
          <w:tcPr>
            <w:tcW w:type="dxa" w:w="1432"/>
            <w:tcBorders>
              <w:top w:val="single" w:color="E0E0E0" w:sz="1"/>
              <w:left w:val="single" w:color="E0E0E0" w:sz="1"/>
              <w:bottom w:val="single" w:color="E0E0E0" w:sz="1"/>
              <w:right w:val="single" w:color="E0E0E0" w:sz="1"/>
            </w:tcBorders>
            <w:shd w:fill="23555A" w:val="clear"/>
            <w:tcMar>
              <w:top w:type="dxa" w:w="60"/>
              <w:left w:type="dxa" w:w="80"/>
              <w:bottom w:type="dxa" w:w="60"/>
              <w:right w:type="dxa" w:w="80"/>
            </w:tcMar>
          </w:tcPr>
          <w:p>
            <w:pPr>
              <w:jc w:val="center"/>
            </w:pPr>
            <w:r>
              <w:rPr>
                <w:rFonts w:ascii="Lato" w:cs="Lato" w:eastAsia="Lato" w:hAnsi="Lato"/>
                <w:b/>
                <w:bCs/>
                <w:color w:val="FFFFFF"/>
                <w:sz w:val="16"/>
                <w:szCs w:val="16"/>
              </w:rPr>
              <w:t xml:space="preserve">Cable &amp; Harness</w:t>
            </w:r>
          </w:p>
        </w:tc>
        <w:tc>
          <w:tcPr>
            <w:tcW w:type="dxa" w:w="1432"/>
            <w:tcBorders>
              <w:top w:val="single" w:color="E0E0E0" w:sz="1"/>
              <w:left w:val="single" w:color="E0E0E0" w:sz="1"/>
              <w:bottom w:val="single" w:color="E0E0E0" w:sz="1"/>
              <w:right w:val="single" w:color="E0E0E0" w:sz="1"/>
            </w:tcBorders>
            <w:shd w:fill="23555A" w:val="clear"/>
            <w:tcMar>
              <w:top w:type="dxa" w:w="60"/>
              <w:left w:type="dxa" w:w="80"/>
              <w:bottom w:type="dxa" w:w="60"/>
              <w:right w:type="dxa" w:w="80"/>
            </w:tcMar>
          </w:tcPr>
          <w:p>
            <w:pPr>
              <w:jc w:val="center"/>
            </w:pPr>
            <w:r>
              <w:rPr>
                <w:rFonts w:ascii="Lato" w:cs="Lato" w:eastAsia="Lato" w:hAnsi="Lato"/>
                <w:b/>
                <w:bCs/>
                <w:color w:val="FFFFFF"/>
                <w:sz w:val="16"/>
                <w:szCs w:val="16"/>
              </w:rPr>
              <w:t xml:space="preserve">System Integration</w:t>
            </w:r>
          </w:p>
        </w:tc>
        <w:tc>
          <w:tcPr>
            <w:tcW w:type="dxa" w:w="1432"/>
            <w:tcBorders>
              <w:top w:val="single" w:color="E0E0E0" w:sz="1"/>
              <w:left w:val="single" w:color="E0E0E0" w:sz="1"/>
              <w:bottom w:val="single" w:color="E0E0E0" w:sz="1"/>
              <w:right w:val="single" w:color="E0E0E0" w:sz="1"/>
            </w:tcBorders>
            <w:shd w:fill="23555A" w:val="clear"/>
            <w:tcMar>
              <w:top w:type="dxa" w:w="60"/>
              <w:left w:type="dxa" w:w="80"/>
              <w:bottom w:type="dxa" w:w="60"/>
              <w:right w:type="dxa" w:w="80"/>
            </w:tcMar>
          </w:tcPr>
          <w:p>
            <w:pPr>
              <w:jc w:val="center"/>
            </w:pPr>
            <w:r>
              <w:rPr>
                <w:rFonts w:ascii="Lato" w:cs="Lato" w:eastAsia="Lato" w:hAnsi="Lato"/>
                <w:b/>
                <w:bCs/>
                <w:color w:val="FFFFFF"/>
                <w:sz w:val="16"/>
                <w:szCs w:val="16"/>
              </w:rPr>
              <w:t xml:space="preserve">Testing</w:t>
            </w:r>
          </w:p>
        </w:tc>
        <w:tc>
          <w:tcPr>
            <w:tcW w:type="dxa" w:w="1432"/>
            <w:tcBorders>
              <w:top w:val="single" w:color="E0E0E0" w:sz="1"/>
              <w:left w:val="single" w:color="E0E0E0" w:sz="1"/>
              <w:bottom w:val="single" w:color="E0E0E0" w:sz="1"/>
              <w:right w:val="single" w:color="E0E0E0" w:sz="1"/>
            </w:tcBorders>
            <w:shd w:fill="23555A" w:val="clear"/>
            <w:tcMar>
              <w:top w:type="dxa" w:w="60"/>
              <w:left w:type="dxa" w:w="80"/>
              <w:bottom w:type="dxa" w:w="60"/>
              <w:right w:type="dxa" w:w="80"/>
            </w:tcMar>
          </w:tcPr>
          <w:p>
            <w:pPr>
              <w:jc w:val="center"/>
            </w:pPr>
            <w:r>
              <w:rPr>
                <w:rFonts w:ascii="Lato" w:cs="Lato" w:eastAsia="Lato" w:hAnsi="Lato"/>
                <w:b/>
                <w:bCs/>
                <w:color w:val="FFFFFF"/>
                <w:sz w:val="16"/>
                <w:szCs w:val="16"/>
              </w:rPr>
              <w:t xml:space="preserve">Enclosure</w:t>
            </w:r>
          </w:p>
        </w:tc>
      </w:tr>
      <w:tr>
        <w:tc>
          <w:tcPr>
            <w:tcW w:type="dxa" w:w="2200"/>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left"/>
            </w:pPr>
            <w:r>
              <w:rPr>
                <w:rFonts w:ascii="Lato" w:cs="Lato" w:eastAsia="Lato" w:hAnsi="Lato"/>
                <w:b/>
                <w:bCs/>
                <w:color w:val="333333"/>
                <w:sz w:val="16"/>
                <w:szCs w:val="16"/>
              </w:rPr>
              <w:t xml:space="preserve">Single enclosure product</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Primary</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Included</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Included</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Primary</w:t>
            </w:r>
          </w:p>
        </w:tc>
      </w:tr>
      <w:tr>
        <w:tc>
          <w:tcPr>
            <w:tcW w:type="dxa" w:w="2200"/>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left"/>
            </w:pPr>
            <w:r>
              <w:rPr>
                <w:rFonts w:ascii="Lato" w:cs="Lato" w:eastAsia="Lato" w:hAnsi="Lato"/>
                <w:b/>
                <w:bCs/>
                <w:color w:val="333333"/>
                <w:sz w:val="16"/>
                <w:szCs w:val="16"/>
              </w:rPr>
              <w:t xml:space="preserve">Multi-unit system</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Per unit</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Included</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Primary</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Included</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Per unit</w:t>
            </w:r>
          </w:p>
        </w:tc>
      </w:tr>
      <w:tr>
        <w:tc>
          <w:tcPr>
            <w:tcW w:type="dxa" w:w="2200"/>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left"/>
            </w:pPr>
            <w:r>
              <w:rPr>
                <w:rFonts w:ascii="Lato" w:cs="Lato" w:eastAsia="Lato" w:hAnsi="Lato"/>
                <w:b/>
                <w:bCs/>
                <w:color w:val="333333"/>
                <w:sz w:val="16"/>
                <w:szCs w:val="16"/>
              </w:rPr>
              <w:t xml:space="preserve">Cable harness program</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Primary</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Included</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w:t>
            </w:r>
          </w:p>
        </w:tc>
      </w:tr>
      <w:tr>
        <w:tc>
          <w:tcPr>
            <w:tcW w:type="dxa" w:w="2200"/>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left"/>
            </w:pPr>
            <w:r>
              <w:rPr>
                <w:rFonts w:ascii="Lato" w:cs="Lato" w:eastAsia="Lato" w:hAnsi="Lato"/>
                <w:b/>
                <w:bCs/>
                <w:color w:val="333333"/>
                <w:sz w:val="16"/>
                <w:szCs w:val="16"/>
              </w:rPr>
              <w:t xml:space="preserve">Rack-level integration</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Sub-assy</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Included</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Primary</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Included</w:t>
            </w:r>
          </w:p>
        </w:tc>
        <w:tc>
          <w:tcPr>
            <w:tcW w:type="dxa" w:w="1432"/>
            <w:tcBorders>
              <w:top w:val="single" w:color="E0E0E0" w:sz="1"/>
              <w:left w:val="single" w:color="E0E0E0" w:sz="1"/>
              <w:bottom w:val="single" w:color="E0E0E0" w:sz="1"/>
              <w:right w:val="single" w:color="E0E0E0" w:sz="1"/>
            </w:tcBorders>
            <w:shd w:fill="FFFFFF"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Rack build</w:t>
            </w:r>
          </w:p>
        </w:tc>
      </w:tr>
      <w:tr>
        <w:tc>
          <w:tcPr>
            <w:tcW w:type="dxa" w:w="2200"/>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left"/>
            </w:pPr>
            <w:r>
              <w:rPr>
                <w:rFonts w:ascii="Lato" w:cs="Lato" w:eastAsia="Lato" w:hAnsi="Lato"/>
                <w:b/>
                <w:bCs/>
                <w:color w:val="333333"/>
                <w:sz w:val="16"/>
                <w:szCs w:val="16"/>
              </w:rPr>
              <w:t xml:space="preserve">Sub-assembly only</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Primary</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As needed</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Included</w:t>
            </w:r>
          </w:p>
        </w:tc>
        <w:tc>
          <w:tcPr>
            <w:tcW w:type="dxa" w:w="1432"/>
            <w:tcBorders>
              <w:top w:val="single" w:color="E0E0E0" w:sz="1"/>
              <w:left w:val="single" w:color="E0E0E0" w:sz="1"/>
              <w:bottom w:val="single" w:color="E0E0E0" w:sz="1"/>
              <w:right w:val="single" w:color="E0E0E0" w:sz="1"/>
            </w:tcBorders>
            <w:shd w:fill="F5F5F5" w:val="clear"/>
            <w:tcMar>
              <w:top w:type="dxa" w:w="40"/>
              <w:left w:type="dxa" w:w="80"/>
              <w:bottom w:type="dxa" w:w="40"/>
              <w:right w:type="dxa" w:w="80"/>
            </w:tcMar>
          </w:tcPr>
          <w:p>
            <w:pPr>
              <w:jc w:val="center"/>
            </w:pPr>
            <w:r>
              <w:rPr>
                <w:rFonts w:ascii="Lato" w:cs="Lato" w:eastAsia="Lato" w:hAnsi="Lato"/>
                <w:b w:val="false"/>
                <w:bCs w:val="false"/>
                <w:color w:val="333333"/>
                <w:sz w:val="16"/>
                <w:szCs w:val="16"/>
              </w:rPr>
              <w:t xml:space="preserve">✓ As needed</w:t>
            </w:r>
          </w:p>
        </w:tc>
      </w:tr>
    </w:tbl>
    <w:p>
      <w:pPr>
        <w:spacing w:after="80" w:before="120"/>
      </w:pPr>
      <w:r>
        <w:rPr>
          <w:rFonts w:ascii="Lato" w:cs="Lato" w:eastAsia="Lato" w:hAnsi="Lato"/>
          <w:b/>
          <w:bCs/>
          <w:color w:val="2A4E64"/>
          <w:sz w:val="20"/>
          <w:szCs w:val="20"/>
        </w:rPr>
        <w:t xml:space="preserve">How to read this table: </w:t>
      </w:r>
      <w:r>
        <w:rPr>
          <w:rFonts w:ascii="Lato" w:cs="Lato" w:eastAsia="Lato" w:hAnsi="Lato"/>
          <w:color w:val="333333"/>
          <w:sz w:val="20"/>
          <w:szCs w:val="20"/>
        </w:rPr>
        <w:t xml:space="preserve">“Primary” means the lead service driving the program scope. “Included” means the service is part of the standard assembly workflow. “As needed” means optional depending on project specifications.</w:t>
      </w:r>
    </w:p>
    <w:p>
      <w:pPr>
        <w:spacing w:after="160"/>
      </w:pPr>
      <w:r>
        <w:rPr>
          <w:rFonts w:ascii="Lato" w:cs="Lato" w:eastAsia="Lato" w:hAnsi="Lato"/>
          <w:color w:val="333333"/>
          <w:sz w:val="22"/>
          <w:szCs w:val="22"/>
        </w:rPr>
        <w:t xml:space="preserve">The right combination depends on three factors: product complexity, volume requirements, and testing specifications. A single-enclosure product with a 50-unit pilot build and a 5,000-unit sustained production run uses a different service configuration than a multi-rack system integration with 72-hour burn-in requirements. GPW’s engineering team evaluates these variables during the RFQ review to recommend the optimal service scope for your program.</w:t>
      </w:r>
    </w:p>
    <w:p>
      <w:pPr>
        <w:spacing w:after="160"/>
      </w:pPr>
      <w:r>
        <w:rPr>
          <w:rFonts w:ascii="Lato" w:cs="Lato" w:eastAsia="Lato" w:hAnsi="Lato"/>
          <w:color w:val="333333"/>
          <w:sz w:val="22"/>
          <w:szCs w:val="22"/>
        </w:rPr>
        <w:t xml:space="preserve">Not sure which combination applies to your project? Request a quote with your BOM and specifications — our engineering team will recommend the right service scope and provide a detailed proposal within 24 hours.</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Eight Industries. One Assembly Standard.</w:t>
      </w:r>
    </w:p>
    <w:p>
      <w:pPr>
        <w:spacing w:after="160"/>
      </w:pPr>
      <w:r>
        <w:rPr>
          <w:rFonts w:ascii="Lato" w:cs="Lato" w:eastAsia="Lato" w:hAnsi="Lato"/>
          <w:color w:val="333333"/>
          <w:sz w:val="22"/>
          <w:szCs w:val="22"/>
        </w:rPr>
        <w:t xml:space="preserve">GPW serves 8 industries — each with distinct assembly processes, compliance requirements, and quality standards. This multi-vertical capability is by design. It broadens our process knowledge, hardens our quality systems, and gives every customer access to assembly techniques refined across sectors. A medical device OEM benefits from the traceability systems GPW built for aerospace programs. A telecom equipment manufacturer benefits from the cable management discipline refined across AI server rack builds. Every industry makes GPW better at assembling for every other industry.</w:t>
      </w:r>
    </w:p>
    <w:p>
      <w:pPr>
        <w:pStyle w:val="ListParagraph"/>
        <w:numPr>
          <w:ilvl w:val="0"/>
          <w:numId w:val="3"/>
        </w:numPr>
        <w:spacing w:after="80"/>
      </w:pPr>
      <w:r>
        <w:rPr>
          <w:rFonts w:ascii="Lato" w:cs="Lato" w:eastAsia="Lato" w:hAnsi="Lato"/>
          <w:b/>
          <w:bCs/>
          <w:color w:val="23555A"/>
          <w:sz w:val="22"/>
          <w:szCs w:val="22"/>
        </w:rPr>
        <w:t xml:space="preserve">AI &amp; Server Rack Assembly — </w:t>
      </w:r>
      <w:r>
        <w:rPr>
          <w:rFonts w:ascii="Lato" w:cs="Lato" w:eastAsia="Lato" w:hAnsi="Lato"/>
          <w:color w:val="333333"/>
          <w:sz w:val="22"/>
          <w:szCs w:val="22"/>
        </w:rPr>
        <w:t xml:space="preserve">Precision rack integration for hyperscaler and enterprise OEMs. Multi-node configurations, high-density cabling, thermal validation.</w:t>
      </w:r>
    </w:p>
    <w:p>
      <w:pPr>
        <w:pStyle w:val="ListParagraph"/>
        <w:numPr>
          <w:ilvl w:val="0"/>
          <w:numId w:val="3"/>
        </w:numPr>
        <w:spacing w:after="80"/>
      </w:pPr>
      <w:r>
        <w:rPr>
          <w:rFonts w:ascii="Lato" w:cs="Lato" w:eastAsia="Lato" w:hAnsi="Lato"/>
          <w:b/>
          <w:bCs/>
          <w:color w:val="23555A"/>
          <w:sz w:val="22"/>
          <w:szCs w:val="22"/>
        </w:rPr>
        <w:t xml:space="preserve">Industrial Equipment — </w:t>
      </w:r>
      <w:r>
        <w:rPr>
          <w:rFonts w:ascii="Lato" w:cs="Lato" w:eastAsia="Lato" w:hAnsi="Lato"/>
          <w:color w:val="333333"/>
          <w:sz w:val="22"/>
          <w:szCs w:val="22"/>
        </w:rPr>
        <w:t xml:space="preserve">Controls, light machinery, and sub-assemblies. DIN rail mounting, panel wiring, rugged enclosure builds.</w:t>
      </w:r>
    </w:p>
    <w:p>
      <w:pPr>
        <w:pStyle w:val="ListParagraph"/>
        <w:numPr>
          <w:ilvl w:val="0"/>
          <w:numId w:val="3"/>
        </w:numPr>
        <w:spacing w:after="80"/>
      </w:pPr>
      <w:r>
        <w:rPr>
          <w:rFonts w:ascii="Lato" w:cs="Lato" w:eastAsia="Lato" w:hAnsi="Lato"/>
          <w:b/>
          <w:bCs/>
          <w:color w:val="23555A"/>
          <w:sz w:val="22"/>
          <w:szCs w:val="22"/>
        </w:rPr>
        <w:t xml:space="preserve">Telecommunications — </w:t>
      </w:r>
      <w:r>
        <w:rPr>
          <w:rFonts w:ascii="Lato" w:cs="Lato" w:eastAsia="Lato" w:hAnsi="Lato"/>
          <w:color w:val="333333"/>
          <w:sz w:val="22"/>
          <w:szCs w:val="22"/>
        </w:rPr>
        <w:t xml:space="preserve">Cabinets, modules, and system integration. High-density fiber and copper cabling, environmental sealing.</w:t>
      </w:r>
    </w:p>
    <w:p>
      <w:pPr>
        <w:pStyle w:val="ListParagraph"/>
        <w:numPr>
          <w:ilvl w:val="0"/>
          <w:numId w:val="3"/>
        </w:numPr>
        <w:spacing w:after="80"/>
      </w:pPr>
      <w:r>
        <w:rPr>
          <w:rFonts w:ascii="Lato" w:cs="Lato" w:eastAsia="Lato" w:hAnsi="Lato"/>
          <w:b/>
          <w:bCs/>
          <w:color w:val="23555A"/>
          <w:sz w:val="22"/>
          <w:szCs w:val="22"/>
        </w:rPr>
        <w:t xml:space="preserve">Medical Devices &amp; Equipment — </w:t>
      </w:r>
      <w:r>
        <w:rPr>
          <w:rFonts w:ascii="Lato" w:cs="Lato" w:eastAsia="Lato" w:hAnsi="Lato"/>
          <w:color w:val="333333"/>
          <w:sz w:val="22"/>
          <w:szCs w:val="22"/>
        </w:rPr>
        <w:t xml:space="preserve">Controlled assembly under documented processes. Traceability, cleanroom-compatible workflows, regulatory awareness.</w:t>
      </w:r>
    </w:p>
    <w:p>
      <w:pPr>
        <w:pStyle w:val="ListParagraph"/>
        <w:numPr>
          <w:ilvl w:val="0"/>
          <w:numId w:val="3"/>
        </w:numPr>
        <w:spacing w:after="80"/>
      </w:pPr>
      <w:r>
        <w:rPr>
          <w:rFonts w:ascii="Lato" w:cs="Lato" w:eastAsia="Lato" w:hAnsi="Lato"/>
          <w:b/>
          <w:bCs/>
          <w:color w:val="23555A"/>
          <w:sz w:val="22"/>
          <w:szCs w:val="22"/>
        </w:rPr>
        <w:t xml:space="preserve">Automotive — </w:t>
      </w:r>
      <w:r>
        <w:rPr>
          <w:rFonts w:ascii="Lato" w:cs="Lato" w:eastAsia="Lato" w:hAnsi="Lato"/>
          <w:color w:val="333333"/>
          <w:sz w:val="22"/>
          <w:szCs w:val="22"/>
        </w:rPr>
        <w:t xml:space="preserve">Sub-assemblies, fixtures, and integration. Production discipline, PPAP documentation, repeatability focus.</w:t>
      </w:r>
    </w:p>
    <w:p>
      <w:pPr>
        <w:pStyle w:val="ListParagraph"/>
        <w:numPr>
          <w:ilvl w:val="0"/>
          <w:numId w:val="3"/>
        </w:numPr>
        <w:spacing w:after="80"/>
      </w:pPr>
      <w:r>
        <w:rPr>
          <w:rFonts w:ascii="Lato" w:cs="Lato" w:eastAsia="Lato" w:hAnsi="Lato"/>
          <w:b/>
          <w:bCs/>
          <w:color w:val="23555A"/>
          <w:sz w:val="22"/>
          <w:szCs w:val="22"/>
        </w:rPr>
        <w:t xml:space="preserve">Energy — </w:t>
      </w:r>
      <w:r>
        <w:rPr>
          <w:rFonts w:ascii="Lato" w:cs="Lato" w:eastAsia="Lato" w:hAnsi="Lato"/>
          <w:color w:val="333333"/>
          <w:sz w:val="22"/>
          <w:szCs w:val="22"/>
        </w:rPr>
        <w:t xml:space="preserve">Equipment cabinets and system integration. High-power wiring, thermal management, safety compliance.</w:t>
      </w:r>
    </w:p>
    <w:p>
      <w:pPr>
        <w:pStyle w:val="ListParagraph"/>
        <w:numPr>
          <w:ilvl w:val="0"/>
          <w:numId w:val="3"/>
        </w:numPr>
        <w:spacing w:after="80"/>
      </w:pPr>
      <w:r>
        <w:rPr>
          <w:rFonts w:ascii="Lato" w:cs="Lato" w:eastAsia="Lato" w:hAnsi="Lato"/>
          <w:b/>
          <w:bCs/>
          <w:color w:val="23555A"/>
          <w:sz w:val="22"/>
          <w:szCs w:val="22"/>
        </w:rPr>
        <w:t xml:space="preserve">Aerospace — </w:t>
      </w:r>
      <w:r>
        <w:rPr>
          <w:rFonts w:ascii="Lato" w:cs="Lato" w:eastAsia="Lato" w:hAnsi="Lato"/>
          <w:color w:val="333333"/>
          <w:sz w:val="22"/>
          <w:szCs w:val="22"/>
        </w:rPr>
        <w:t xml:space="preserve">Sub-assemblies with full traceability. Serialized component tracking, FOD control, AS9100-aligned processes.</w:t>
      </w:r>
    </w:p>
    <w:p>
      <w:pPr>
        <w:pStyle w:val="ListParagraph"/>
        <w:numPr>
          <w:ilvl w:val="0"/>
          <w:numId w:val="3"/>
        </w:numPr>
        <w:spacing w:after="80"/>
      </w:pPr>
      <w:r>
        <w:rPr>
          <w:rFonts w:ascii="Lato" w:cs="Lato" w:eastAsia="Lato" w:hAnsi="Lato"/>
          <w:b/>
          <w:bCs/>
          <w:color w:val="23555A"/>
          <w:sz w:val="22"/>
          <w:szCs w:val="22"/>
        </w:rPr>
        <w:t xml:space="preserve">Appliances &amp; White Goods — </w:t>
      </w:r>
      <w:r>
        <w:rPr>
          <w:rFonts w:ascii="Lato" w:cs="Lato" w:eastAsia="Lato" w:hAnsi="Lato"/>
          <w:color w:val="333333"/>
          <w:sz w:val="22"/>
          <w:szCs w:val="22"/>
        </w:rPr>
        <w:t xml:space="preserve">Assembly for consumer and commercial products. Volume scalability, cosmetic quality, packaging integration.</w:t>
      </w:r>
    </w:p>
    <w:p>
      <w:pPr>
        <w:spacing w:after="160"/>
      </w:pPr>
      <w:r>
        <w:rPr>
          <w:rFonts w:ascii="Lato" w:cs="Lato" w:eastAsia="Lato" w:hAnsi="Lato"/>
          <w:color w:val="333333"/>
          <w:sz w:val="22"/>
          <w:szCs w:val="22"/>
        </w:rPr>
        <w:t xml:space="preserve">Every industry page details the specific assembly capabilities, compliance standards, and typical project types GPW handles in that sector.</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What Sets GPW Apart</w:t>
      </w:r>
    </w:p>
    <w:p>
      <w:pPr>
        <w:spacing w:after="160"/>
      </w:pPr>
      <w:r>
        <w:rPr>
          <w:rFonts w:ascii="Lato" w:cs="Lato" w:eastAsia="Lato" w:hAnsi="Lato"/>
          <w:b/>
          <w:bCs/>
          <w:color w:val="23555A"/>
          <w:sz w:val="22"/>
          <w:szCs w:val="22"/>
        </w:rPr>
        <w:t xml:space="preserve">Assembly-first focus. </w:t>
      </w:r>
      <w:r>
        <w:rPr>
          <w:rFonts w:ascii="Lato" w:cs="Lato" w:eastAsia="Lato" w:hAnsi="Lato"/>
          <w:color w:val="333333"/>
          <w:sz w:val="22"/>
          <w:szCs w:val="22"/>
        </w:rPr>
        <w:t xml:space="preserve">GPW does not fabricate PCBAs or run SMT lines. Every resource — from facility layout to engineering hires to equipment purchases — serves one purpose: building complex electromechanical assemblies to specification. This singular focus means faster NPI cycles, fewer handoff errors, and deeper process expertise than providers who treat assembly as an add-on to board fabrication.</w:t>
      </w:r>
    </w:p>
    <w:p>
      <w:pPr>
        <w:spacing w:after="160"/>
      </w:pPr>
      <w:r>
        <w:rPr>
          <w:rFonts w:ascii="Lato" w:cs="Lato" w:eastAsia="Lato" w:hAnsi="Lato"/>
          <w:b/>
          <w:bCs/>
          <w:color w:val="23555A"/>
          <w:sz w:val="22"/>
          <w:szCs w:val="22"/>
        </w:rPr>
        <w:t xml:space="preserve">Engineering-driven quoting. </w:t>
      </w:r>
      <w:r>
        <w:rPr>
          <w:rFonts w:ascii="Lato" w:cs="Lato" w:eastAsia="Lato" w:hAnsi="Lato"/>
          <w:color w:val="333333"/>
          <w:sz w:val="22"/>
          <w:szCs w:val="22"/>
        </w:rPr>
        <w:t xml:space="preserve">Every RFQ is reviewed by GPW’s engineering team — not a sales desk. You receive a quote grounded in actual DFM analysis, process planning, and resource allocation. No rough estimates, no surprises at production ramp.</w:t>
      </w:r>
    </w:p>
    <w:p>
      <w:pPr>
        <w:spacing w:after="160"/>
      </w:pPr>
      <w:r>
        <w:rPr>
          <w:rFonts w:ascii="Lato" w:cs="Lato" w:eastAsia="Lato" w:hAnsi="Lato"/>
          <w:b/>
          <w:bCs/>
          <w:color w:val="23555A"/>
          <w:sz w:val="22"/>
          <w:szCs w:val="22"/>
        </w:rPr>
        <w:t xml:space="preserve">Nearshore in Monterrey. </w:t>
      </w:r>
      <w:r>
        <w:rPr>
          <w:rFonts w:ascii="Lato" w:cs="Lato" w:eastAsia="Lato" w:hAnsi="Lato"/>
          <w:color w:val="333333"/>
          <w:sz w:val="22"/>
          <w:szCs w:val="22"/>
        </w:rPr>
        <w:t xml:space="preserve">Two hours from the U.S. border by road. Same timezone as Central U.S. Direct flights from Austin, Dallas, Phoenix, and San Jose. Your engineering team can visit the production floor in the morning and be home the same day. 40-60% cost savings compared to equivalent domestic U.S. assembly operations.</w:t>
      </w:r>
    </w:p>
    <w:p>
      <w:pPr>
        <w:spacing w:after="160"/>
      </w:pPr>
      <w:r>
        <w:rPr>
          <w:rFonts w:ascii="Lato" w:cs="Lato" w:eastAsia="Lato" w:hAnsi="Lato"/>
          <w:b/>
          <w:bCs/>
          <w:color w:val="23555A"/>
          <w:sz w:val="22"/>
          <w:szCs w:val="22"/>
        </w:rPr>
        <w:t xml:space="preserve">Single accountability chain. </w:t>
      </w:r>
      <w:r>
        <w:rPr>
          <w:rFonts w:ascii="Lato" w:cs="Lato" w:eastAsia="Lato" w:hAnsi="Lato"/>
          <w:color w:val="333333"/>
          <w:sz w:val="22"/>
          <w:szCs w:val="22"/>
        </w:rPr>
        <w:t xml:space="preserve">One program manager, one production floor, one quality system. GPW manages the full assembly scope — mechanical, electrical, cabling, testing, and packaging — under one roof. No multi-vendor coordination. No finger-pointing when something needs to change.</w:t>
      </w:r>
    </w:p>
    <w:p>
      <w:pPr>
        <w:spacing w:after="160"/>
      </w:pPr>
      <w:r>
        <w:rPr>
          <w:rFonts w:ascii="Lato" w:cs="Lato" w:eastAsia="Lato" w:hAnsi="Lato"/>
          <w:b/>
          <w:bCs/>
          <w:color w:val="23555A"/>
          <w:sz w:val="22"/>
          <w:szCs w:val="22"/>
        </w:rPr>
        <w:t xml:space="preserve">Multi-vertical process knowledge. </w:t>
      </w:r>
      <w:r>
        <w:rPr>
          <w:rFonts w:ascii="Lato" w:cs="Lato" w:eastAsia="Lato" w:hAnsi="Lato"/>
          <w:color w:val="333333"/>
          <w:sz w:val="22"/>
          <w:szCs w:val="22"/>
        </w:rPr>
        <w:t xml:space="preserve">Techniques refined in aerospace traceability improve medical device documentation. Cable management practices from telecom cabinet builds apply to AI server rack integration. GPW’s cross-industry experience compounds into better assembly outcomes for every customer.</w:t>
      </w:r>
    </w:p>
    <w:p>
      <w:pPr>
        <w:spacing w:after="160"/>
      </w:pPr>
      <w:r>
        <w:rPr>
          <w:rFonts w:ascii="Lato" w:cs="Lato" w:eastAsia="Lato" w:hAnsi="Lato"/>
          <w:b/>
          <w:bCs/>
          <w:color w:val="23555A"/>
          <w:sz w:val="22"/>
          <w:szCs w:val="22"/>
        </w:rPr>
        <w:t xml:space="preserve">Scalable production capacity. </w:t>
      </w:r>
      <w:r>
        <w:rPr>
          <w:rFonts w:ascii="Lato" w:cs="Lato" w:eastAsia="Lato" w:hAnsi="Lato"/>
          <w:color w:val="333333"/>
          <w:sz w:val="22"/>
          <w:szCs w:val="22"/>
        </w:rPr>
        <w:t xml:space="preserve">GPW’s facility and workforce are structured to scale with your program. Pilot builds of 10 units use the same documented processes as sustained production runs of 10,000+ units per month. NPI transitions to volume production happen on the same floor, managed by the same team, without the disruption of transferring programs between facilities or divisions.</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Start with a Conversation</w:t>
      </w:r>
    </w:p>
    <w:p>
      <w:pPr>
        <w:spacing w:after="160"/>
      </w:pPr>
      <w:r>
        <w:rPr>
          <w:rFonts w:ascii="Lato" w:cs="Lato" w:eastAsia="Lato" w:hAnsi="Lato"/>
          <w:color w:val="333333"/>
          <w:sz w:val="22"/>
          <w:szCs w:val="22"/>
        </w:rPr>
        <w:t xml:space="preserve">Whether you have a complete BOM ready for quoting or an early-stage concept that needs assembly planning, GPW’s engineering team is ready to talk. Every RFQ goes through a technical review — not a sales screening — so you receive a proposal grounded in actual process planning, DFM analysis, and resource allocation. Submit your project details and receive a detailed response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w:t>
            </w:r>
          </w:p>
        </w:tc>
      </w:tr>
    </w:tbl>
    <w:p>
      <w:pPr>
        <w:spacing w:after="80"/>
        <w:jc w:val="center"/>
      </w:pPr>
      <w:r>
        <w:rPr>
          <w:rFonts w:ascii="Lato" w:cs="Lato" w:eastAsia="Lato" w:hAnsi="Lato"/>
          <w:i/>
          <w:iCs/>
          <w:color w:val="666666"/>
          <w:sz w:val="20"/>
          <w:szCs w:val="20"/>
        </w:rPr>
        <w:t xml:space="preserve">No commitment. No minimum order. Engineering-driven quoting — not a generic sales estimate.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3555A" w:val="clear"/>
            <w:tcMar>
              <w:top w:type="dxa" w:w="160"/>
              <w:left w:type="dxa" w:w="200"/>
              <w:bottom w:type="dxa" w:w="160"/>
              <w:right w:type="dxa" w:w="200"/>
            </w:tcMar>
          </w:tcPr>
          <w:p>
            <w:pPr>
              <w:jc w:val="center"/>
            </w:pPr>
            <w:r>
              <w:rPr>
                <w:rFonts w:ascii="Lato" w:cs="Lato" w:eastAsia="Lato" w:hAnsi="Lato"/>
                <w:b/>
                <w:bCs/>
                <w:color w:val="FFFFFF"/>
                <w:sz w:val="24"/>
                <w:szCs w:val="24"/>
              </w:rPr>
              <w:t xml:space="preserve">SCHEDULE A FACILITY TOUR</w:t>
            </w:r>
          </w:p>
        </w:tc>
      </w:tr>
    </w:tbl>
    <w:p>
      <w:pPr>
        <w:spacing w:after="80"/>
        <w:jc w:val="center"/>
      </w:pPr>
      <w:r>
        <w:rPr>
          <w:rFonts w:ascii="Lato" w:cs="Lato" w:eastAsia="Lato" w:hAnsi="Lato"/>
          <w:i/>
          <w:iCs/>
          <w:color w:val="666666"/>
          <w:sz w:val="20"/>
          <w:szCs w:val="20"/>
        </w:rPr>
        <w:t xml:space="preserve">Visit our Monterrey facility, meet the team, and see the production floor in person.</w:t>
      </w:r>
    </w:p>
    <w:p>
      <w:pPr>
        <w:spacing w:before="120"/>
        <w:jc w:val="center"/>
      </w:pPr>
      <w:r>
        <w:rPr>
          <w:rFonts w:ascii="Lato" w:cs="Lato" w:eastAsia="Lato" w:hAnsi="Lato"/>
          <w:color w:val="2A4E64"/>
          <w:sz w:val="20"/>
          <w:szCs w:val="20"/>
        </w:rPr>
        <w:t xml:space="preserve">rfq@gpw-solutions.com · +52 (81) [phone number]</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Frequently Asked Questions</w:t>
      </w:r>
    </w:p>
    <w:p>
      <w:pPr>
        <w:spacing w:after="80" w:before="200"/>
      </w:pPr>
      <w:r>
        <w:rPr>
          <w:rFonts w:ascii="Lato" w:cs="Lato" w:eastAsia="Lato" w:hAnsi="Lato"/>
          <w:b/>
          <w:bCs/>
          <w:color w:val="23555A"/>
          <w:sz w:val="22"/>
          <w:szCs w:val="22"/>
        </w:rPr>
        <w:t xml:space="preserve">What services does GPW offer?</w:t>
      </w:r>
    </w:p>
    <w:p>
      <w:pPr>
        <w:spacing w:after="160"/>
      </w:pPr>
      <w:r>
        <w:rPr>
          <w:rFonts w:ascii="Lato" w:cs="Lato" w:eastAsia="Lato" w:hAnsi="Lato"/>
          <w:color w:val="333333"/>
          <w:sz w:val="22"/>
          <w:szCs w:val="22"/>
        </w:rPr>
        <w:t xml:space="preserve">GPW provides five core electromechanical assembly services: box build assembly, cable and wire harness assembly, system integration, testing and inspection, and enclosure and cabinet assembly. These services combine to cover the full assembly spectrum — from individual cable harnesses to complete multi-unit system builds.</w:t>
      </w:r>
    </w:p>
    <w:p>
      <w:pPr>
        <w:spacing w:after="80" w:before="200"/>
      </w:pPr>
      <w:r>
        <w:rPr>
          <w:rFonts w:ascii="Lato" w:cs="Lato" w:eastAsia="Lato" w:hAnsi="Lato"/>
          <w:b/>
          <w:bCs/>
          <w:color w:val="23555A"/>
          <w:sz w:val="22"/>
          <w:szCs w:val="22"/>
        </w:rPr>
        <w:t xml:space="preserve">Can GPW handle projects that require multiple services?</w:t>
      </w:r>
    </w:p>
    <w:p>
      <w:pPr>
        <w:spacing w:after="160"/>
      </w:pPr>
      <w:r>
        <w:rPr>
          <w:rFonts w:ascii="Lato" w:cs="Lato" w:eastAsia="Lato" w:hAnsi="Lato"/>
          <w:color w:val="333333"/>
          <w:sz w:val="22"/>
          <w:szCs w:val="22"/>
        </w:rPr>
        <w:t xml:space="preserve">Yes. Most customer programs combine two or more services within a single production line. GPW manages the full assembly scope — mechanical, electrical, cabling, testing, and packaging — under one program manager and one quality system. This eliminates the coordination overhead of managing multiple subcontractors.</w:t>
      </w:r>
    </w:p>
    <w:p>
      <w:pPr>
        <w:spacing w:after="80" w:before="200"/>
      </w:pPr>
      <w:r>
        <w:rPr>
          <w:rFonts w:ascii="Lato" w:cs="Lato" w:eastAsia="Lato" w:hAnsi="Lato"/>
          <w:b/>
          <w:bCs/>
          <w:color w:val="23555A"/>
          <w:sz w:val="22"/>
          <w:szCs w:val="22"/>
        </w:rPr>
        <w:t xml:space="preserve">What industries does GPW serve?</w:t>
      </w:r>
    </w:p>
    <w:p>
      <w:pPr>
        <w:spacing w:after="160"/>
      </w:pPr>
      <w:r>
        <w:rPr>
          <w:rFonts w:ascii="Lato" w:cs="Lato" w:eastAsia="Lato" w:hAnsi="Lato"/>
          <w:color w:val="333333"/>
          <w:sz w:val="22"/>
          <w:szCs w:val="22"/>
        </w:rPr>
        <w:t xml:space="preserve">GPW serves 8 industries: AI and server rack assembly, industrial equipment, telecommunications, medical devices, automotive, energy, aerospace, and appliances. Each vertical has dedicated assembly processes and compliance protocols tailored to its regulatory and quality requirements. This multi-vertical capability strengthens GPW’s overall process knowledge and benefits every customer program.</w:t>
      </w:r>
    </w:p>
    <w:p>
      <w:pPr>
        <w:spacing w:after="80" w:before="200"/>
      </w:pPr>
      <w:r>
        <w:rPr>
          <w:rFonts w:ascii="Lato" w:cs="Lato" w:eastAsia="Lato" w:hAnsi="Lato"/>
          <w:b/>
          <w:bCs/>
          <w:color w:val="23555A"/>
          <w:sz w:val="22"/>
          <w:szCs w:val="22"/>
        </w:rPr>
        <w:t xml:space="preserve">How does GPW quote an assembly project?</w:t>
      </w:r>
    </w:p>
    <w:p>
      <w:pPr>
        <w:spacing w:after="160"/>
      </w:pPr>
      <w:r>
        <w:rPr>
          <w:rFonts w:ascii="Lato" w:cs="Lato" w:eastAsia="Lato" w:hAnsi="Lato"/>
          <w:color w:val="333333"/>
          <w:sz w:val="22"/>
          <w:szCs w:val="22"/>
        </w:rPr>
        <w:t xml:space="preserve">Every RFQ is reviewed by GPW’s engineering team for technical feasibility, DFM considerations, and process requirements before generating a quote. Submit your BOM, specifications, and target volumes through the RFQ form. Engineering responds within 24 hours with a detailed technical review and proposal.</w:t>
      </w:r>
    </w:p>
    <w:p>
      <w:pPr>
        <w:spacing w:after="80" w:before="200"/>
      </w:pPr>
      <w:r>
        <w:rPr>
          <w:rFonts w:ascii="Lato" w:cs="Lato" w:eastAsia="Lato" w:hAnsi="Lato"/>
          <w:b/>
          <w:bCs/>
          <w:color w:val="23555A"/>
          <w:sz w:val="22"/>
          <w:szCs w:val="22"/>
        </w:rPr>
        <w:t xml:space="preserve">What certifications does GPW hold?</w:t>
      </w:r>
    </w:p>
    <w:p>
      <w:pPr>
        <w:spacing w:after="160"/>
      </w:pPr>
      <w:r>
        <w:rPr>
          <w:rFonts w:ascii="Lato" w:cs="Lato" w:eastAsia="Lato" w:hAnsi="Lato"/>
          <w:color w:val="333333"/>
          <w:sz w:val="22"/>
          <w:szCs w:val="22"/>
        </w:rPr>
        <w:t xml:space="preserve">GPW is pursuing IPC-A-610, IPC-A-620, and ISO 9001 certifications. All assembly processes already follow the workmanship criteria defined by these standards. Industry-specific certifications (AS9100, IATF 16949, FDA 21 CFR Part 820 compliance) are structured into the quality framework and pursued as customer programs require.</w:t>
      </w:r>
    </w:p>
    <w:p>
      <w:pPr>
        <w:spacing w:after="80" w:before="200"/>
      </w:pPr>
      <w:r>
        <w:rPr>
          <w:rFonts w:ascii="Lato" w:cs="Lato" w:eastAsia="Lato" w:hAnsi="Lato"/>
          <w:b/>
          <w:bCs/>
          <w:color w:val="23555A"/>
          <w:sz w:val="22"/>
          <w:szCs w:val="22"/>
        </w:rPr>
        <w:t xml:space="preserve">Where is GPW located?</w:t>
      </w:r>
    </w:p>
    <w:p>
      <w:pPr>
        <w:spacing w:after="160"/>
      </w:pPr>
      <w:r>
        <w:rPr>
          <w:rFonts w:ascii="Lato" w:cs="Lato" w:eastAsia="Lato" w:hAnsi="Lato"/>
          <w:color w:val="333333"/>
          <w:sz w:val="22"/>
          <w:szCs w:val="22"/>
        </w:rPr>
        <w:t xml:space="preserve">GPW operates from Monterrey, Nuevo León, Mexico — 150 miles from the U.S. border, 2 hours by road. Direct flights connect from Austin, Dallas, Houston, Phoenix, and San Jose. Same timezone as Central U.S. (CST), enabling real-time collaboration with your engineering team. All production is USMCA-compliant for duty-free cross-border shipping.</w:t>
      </w:r>
    </w:p>
    <w:p>
      <w:pPr>
        <w:spacing w:after="80" w:before="200"/>
      </w:pPr>
      <w:r>
        <w:rPr>
          <w:rFonts w:ascii="Lato" w:cs="Lato" w:eastAsia="Lato" w:hAnsi="Lato"/>
          <w:b/>
          <w:bCs/>
          <w:color w:val="23555A"/>
          <w:sz w:val="22"/>
          <w:szCs w:val="22"/>
        </w:rPr>
        <w:t xml:space="preserve">What is the minimum order quantity?</w:t>
      </w:r>
    </w:p>
    <w:p>
      <w:pPr>
        <w:spacing w:after="160"/>
      </w:pPr>
      <w:r>
        <w:rPr>
          <w:rFonts w:ascii="Lato" w:cs="Lato" w:eastAsia="Lato" w:hAnsi="Lato"/>
          <w:color w:val="333333"/>
          <w:sz w:val="22"/>
          <w:szCs w:val="22"/>
        </w:rPr>
        <w:t xml:space="preserve">GPW does not enforce a fixed minimum order quantity. Programs range from pilot builds of 10 units to sustained production of 10,000+ units per month. The engineering team evaluates each project on scope, complexity, and production requirements — not arbitrary volume thresholds.</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Page Metadata</w:t>
      </w:r>
    </w:p>
    <w:p>
      <w:pPr>
        <w:spacing w:after="160"/>
      </w:pPr>
      <w:r>
        <w:rPr>
          <w:rFonts w:ascii="Lato" w:cs="Lato" w:eastAsia="Lato" w:hAnsi="Lato"/>
          <w:b/>
          <w:bCs/>
          <w:color w:val="2A4E64"/>
          <w:sz w:val="22"/>
          <w:szCs w:val="22"/>
        </w:rPr>
        <w:t xml:space="preserve">URL: </w:t>
      </w:r>
      <w:r>
        <w:rPr>
          <w:rFonts w:ascii="Lato" w:cs="Lato" w:eastAsia="Lato" w:hAnsi="Lato"/>
          <w:color w:val="333333"/>
          <w:sz w:val="22"/>
          <w:szCs w:val="22"/>
        </w:rPr>
        <w:t xml:space="preserve">/electromechanical-assembly/services/</w:t>
      </w:r>
    </w:p>
    <w:p>
      <w:pPr>
        <w:spacing w:after="160"/>
      </w:pPr>
      <w:r>
        <w:rPr>
          <w:rFonts w:ascii="Lato" w:cs="Lato" w:eastAsia="Lato" w:hAnsi="Lato"/>
          <w:b/>
          <w:bCs/>
          <w:color w:val="2A4E64"/>
          <w:sz w:val="22"/>
          <w:szCs w:val="22"/>
        </w:rPr>
        <w:t xml:space="preserve">H1: </w:t>
      </w:r>
      <w:r>
        <w:rPr>
          <w:rFonts w:ascii="Lato" w:cs="Lato" w:eastAsia="Lato" w:hAnsi="Lato"/>
          <w:color w:val="333333"/>
          <w:sz w:val="22"/>
          <w:szCs w:val="22"/>
        </w:rPr>
        <w:t xml:space="preserve">Five Services. Eight Industries. One Precision Standard.</w:t>
      </w:r>
    </w:p>
    <w:p>
      <w:pPr>
        <w:spacing w:after="160"/>
      </w:pPr>
      <w:r>
        <w:rPr>
          <w:rFonts w:ascii="Lato" w:cs="Lato" w:eastAsia="Lato" w:hAnsi="Lato"/>
          <w:b/>
          <w:bCs/>
          <w:color w:val="2A4E64"/>
          <w:sz w:val="22"/>
          <w:szCs w:val="22"/>
        </w:rPr>
        <w:t xml:space="preserve">Title Tag: </w:t>
      </w:r>
      <w:r>
        <w:rPr>
          <w:rFonts w:ascii="Lato" w:cs="Lato" w:eastAsia="Lato" w:hAnsi="Lato"/>
          <w:color w:val="333333"/>
          <w:sz w:val="22"/>
          <w:szCs w:val="22"/>
        </w:rPr>
        <w:t xml:space="preserve">Electromechanical Assembly Services | GPW Monterrey (55 chars)</w:t>
      </w:r>
    </w:p>
    <w:p>
      <w:pPr>
        <w:spacing w:after="160"/>
      </w:pPr>
      <w:r>
        <w:rPr>
          <w:rFonts w:ascii="Lato" w:cs="Lato" w:eastAsia="Lato" w:hAnsi="Lato"/>
          <w:b/>
          <w:bCs/>
          <w:color w:val="2A4E64"/>
          <w:sz w:val="22"/>
          <w:szCs w:val="22"/>
        </w:rPr>
        <w:t xml:space="preserve">Meta Description: </w:t>
      </w:r>
      <w:r>
        <w:rPr>
          <w:rFonts w:ascii="Lato" w:cs="Lato" w:eastAsia="Lato" w:hAnsi="Lato"/>
          <w:color w:val="333333"/>
          <w:sz w:val="22"/>
          <w:szCs w:val="22"/>
        </w:rPr>
        <w:t xml:space="preserve">Five core assembly services — box build, cable harness, system integration, testing, and enclosures — engineered for U.S. OEMs by GPW in Monterrey. (152 chars)</w:t>
      </w:r>
    </w:p>
    <w:p>
      <w:pPr>
        <w:spacing w:after="160"/>
      </w:pPr>
      <w:r>
        <w:rPr>
          <w:rFonts w:ascii="Lato" w:cs="Lato" w:eastAsia="Lato" w:hAnsi="Lato"/>
          <w:b/>
          <w:bCs/>
          <w:color w:val="2A4E64"/>
          <w:sz w:val="22"/>
          <w:szCs w:val="22"/>
        </w:rPr>
        <w:t xml:space="preserve">Primary Keyword: </w:t>
      </w:r>
      <w:r>
        <w:rPr>
          <w:rFonts w:ascii="Lato" w:cs="Lato" w:eastAsia="Lato" w:hAnsi="Lato"/>
          <w:color w:val="333333"/>
          <w:sz w:val="22"/>
          <w:szCs w:val="22"/>
        </w:rPr>
        <w:t xml:space="preserve">electromechanical assembly services</w:t>
      </w:r>
    </w:p>
    <w:p>
      <w:pPr>
        <w:spacing w:after="160"/>
      </w:pPr>
      <w:r>
        <w:rPr>
          <w:rFonts w:ascii="Lato" w:cs="Lato" w:eastAsia="Lato" w:hAnsi="Lato"/>
          <w:b/>
          <w:bCs/>
          <w:color w:val="2A4E64"/>
          <w:sz w:val="22"/>
          <w:szCs w:val="22"/>
        </w:rPr>
        <w:t xml:space="preserve">Schema: </w:t>
      </w:r>
      <w:r>
        <w:rPr>
          <w:rFonts w:ascii="Lato" w:cs="Lato" w:eastAsia="Lato" w:hAnsi="Lato"/>
          <w:color w:val="333333"/>
          <w:sz w:val="22"/>
          <w:szCs w:val="22"/>
        </w:rPr>
        <w:t xml:space="preserve">CollectionPage + Service (combined) + FAQPage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CF91" w:sz="4" w:space="1"/>
      </w:pBdr>
      <w:spacing w:before="100"/>
    </w:pPr>
    <w:r>
      <w:rPr>
        <w:rFonts w:ascii="Lato" w:cs="Lato" w:eastAsia="Lato" w:hAnsi="Lato"/>
        <w:color w:val="999999"/>
        <w:sz w:val="16"/>
        <w:szCs w:val="16"/>
      </w:rPr>
      <w:t xml:space="preserve">Global Precision Works — Confidential</w:t>
    </w:r>
    <w:r>
      <w:rPr>
        <w:rFonts w:ascii="Lato" w:cs="Lato" w:eastAsia="Lato" w:hAnsi="Lato"/>
        <w:color w:val="999999"/>
        <w:sz w:val="16"/>
        <w:szCs w:val="16"/>
      </w:rPr>
      <w:t xml:space="preserve">		Page </w:t>
    </w:r>
    <w:r>
      <w:rPr>
        <w:rFonts w:ascii="Lato" w:cs="Lato" w:eastAsia="Lato" w:hAnsi="Lato"/>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1"/>
      </w:pBdr>
      <w:spacing w:after="200"/>
    </w:pPr>
    <w:r>
      <w:rPr>
        <w:rFonts w:ascii="Trirong" w:cs="Trirong" w:eastAsia="Trirong" w:hAnsi="Trirong"/>
        <w:b/>
        <w:bCs/>
        <w:color w:val="23555A"/>
        <w:sz w:val="18"/>
        <w:szCs w:val="18"/>
      </w:rPr>
      <w:t xml:space="preserve">GPW </w:t>
    </w:r>
    <w:r>
      <w:rPr>
        <w:rFonts w:ascii="Lato" w:cs="Lato" w:eastAsia="Lato" w:hAnsi="Lato"/>
        <w:color w:val="999999"/>
        <w:sz w:val="18"/>
        <w:szCs w:val="18"/>
      </w:rPr>
      <w:t xml:space="preserve">| Services Hub — Web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irong" w:cs="Trirong" w:eastAsia="Trirong" w:hAnsi="Trirong"/>
      <w:b/>
      <w:bCs/>
      <w:color w:val="23555A"/>
      <w:sz w:val="36"/>
      <w:szCs w:val="36"/>
    </w:rPr>
  </w:style>
  <w:style w:type="paragraph" w:styleId="Heading2">
    <w:name w:val="Heading 2"/>
    <w:basedOn w:val="Normal"/>
    <w:next w:val="Normal"/>
    <w:qFormat/>
    <w:pPr>
      <w:spacing w:after="160" w:before="300"/>
      <w:outlineLvl w:val="1"/>
    </w:pPr>
    <w:rPr>
      <w:rFonts w:ascii="Trirong" w:cs="Trirong" w:eastAsia="Trirong" w:hAnsi="Trirong"/>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2026-03-07T02:41:00.547Z</dcterms:created>
  <dcterms:modified xsi:type="dcterms:W3CDTF">2026-03-07T02:41:00.547Z</dcterms:modified>
</cp:coreProperties>
</file>

<file path=docProps/custom.xml><?xml version="1.0" encoding="utf-8"?>
<Properties xmlns="http://schemas.openxmlformats.org/officeDocument/2006/custom-properties" xmlns:vt="http://schemas.openxmlformats.org/officeDocument/2006/docPropsVTypes"/>
</file>