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Trirong" w:cs="Trirong" w:eastAsia="Trirong" w:hAnsi="Trirong"/>
          <w:color w:val="23555A"/>
          <w:spacing w:val="300"/>
          <w:sz w:val="20"/>
          <w:szCs w:val="20"/>
        </w:rPr>
        <w:t xml:space="preserve">GLOBAL PRECISION WORKS</w:t>
      </w:r>
    </w:p>
    <w:p>
      <w:pPr>
        <w:pBdr>
          <w:bottom w:val="single" w:color="ED835E" w:sz="8" w:space="1"/>
        </w:pBdr>
        <w:spacing w:after="100"/>
        <w:jc w:val="center"/>
      </w:pPr>
    </w:p>
    <w:p>
      <w:pPr>
        <w:spacing w:after="200"/>
      </w:pPr>
    </w:p>
    <w:p>
      <w:pPr>
        <w:spacing w:after="120"/>
        <w:jc w:val="center"/>
      </w:pPr>
      <w:r>
        <w:rPr>
          <w:rFonts w:ascii="Trirong" w:cs="Trirong" w:eastAsia="Trirong" w:hAnsi="Trirong"/>
          <w:b/>
          <w:bCs/>
          <w:color w:val="23555A"/>
          <w:sz w:val="52"/>
          <w:szCs w:val="52"/>
        </w:rPr>
        <w:t xml:space="preserve">Box Build Assembly</w:t>
      </w:r>
    </w:p>
    <w:p>
      <w:pPr>
        <w:spacing w:after="80"/>
        <w:jc w:val="center"/>
      </w:pPr>
      <w:r>
        <w:rPr>
          <w:rFonts w:ascii="Trirong" w:cs="Trirong" w:eastAsia="Trirong" w:hAnsi="Trirong"/>
          <w:color w:val="2A4E64"/>
          <w:sz w:val="28"/>
          <w:szCs w:val="28"/>
        </w:rPr>
        <w:t xml:space="preserve">Service Page — Web Copy</w:t>
      </w:r>
    </w:p>
    <w:p>
      <w:pPr>
        <w:spacing w:after="400"/>
        <w:jc w:val="center"/>
      </w:pPr>
      <w:r>
        <w:rPr>
          <w:rFonts w:ascii="Lato" w:cs="Lato" w:eastAsia="Lato" w:hAnsi="Lato"/>
          <w:color w:val="ED835E"/>
          <w:sz w:val="20"/>
          <w:szCs w:val="20"/>
        </w:rPr>
        <w:t xml:space="preserve">gpw-solutions.com/electromechanical-assembly/services/box-build-assembly/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23555A" w:val="clear"/>
            <w:tcMar>
              <w:top w:type="dxa" w:w="120"/>
              <w:left w:type="dxa" w:w="200"/>
              <w:bottom w:type="dxa" w:w="120"/>
              <w:right w:type="dxa" w:w="200"/>
            </w:tcMar>
          </w:tcPr>
          <w:p>
            <w:pPr>
              <w:spacing w:after="40"/>
              <w:jc w:val="center"/>
            </w:pPr>
            <w:r>
              <w:rPr>
                <w:rFonts w:ascii="Lato" w:cs="Lato" w:eastAsia="Lato" w:hAnsi="Lato"/>
                <w:b/>
                <w:bCs/>
                <w:color w:val="FFFFFF"/>
                <w:sz w:val="18"/>
                <w:szCs w:val="18"/>
              </w:rPr>
              <w:t xml:space="preserve">WORD COUNT</w:t>
            </w:r>
          </w:p>
          <w:p>
            <w:pPr>
              <w:jc w:val="center"/>
            </w:pPr>
            <w:r>
              <w:rPr>
                <w:rFonts w:ascii="Lato" w:cs="Lato" w:eastAsia="Lato" w:hAnsi="Lato"/>
                <w:b/>
                <w:bCs/>
                <w:color w:val="FFFFFF"/>
                <w:sz w:val="28"/>
                <w:szCs w:val="28"/>
              </w:rPr>
              <w:t xml:space="preserve">~3,000</w:t>
            </w:r>
          </w:p>
        </w:tc>
        <w:tc>
          <w:tcPr>
            <w:tcW w:type="dxa" w:w="3120"/>
            <w:tcBorders>
              <w:top w:val="none" w:color="FFFFFF" w:sz="0"/>
              <w:left w:val="none" w:color="FFFFFF" w:sz="0"/>
              <w:bottom w:val="none" w:color="FFFFFF" w:sz="0"/>
              <w:right w:val="none" w:color="FFFFFF" w:sz="0"/>
            </w:tcBorders>
            <w:shd w:fill="2A4E64" w:val="clear"/>
            <w:tcMar>
              <w:top w:type="dxa" w:w="120"/>
              <w:left w:type="dxa" w:w="200"/>
              <w:bottom w:type="dxa" w:w="120"/>
              <w:right w:type="dxa" w:w="200"/>
            </w:tcMar>
          </w:tcPr>
          <w:p>
            <w:pPr>
              <w:spacing w:after="40"/>
              <w:jc w:val="center"/>
            </w:pPr>
            <w:r>
              <w:rPr>
                <w:rFonts w:ascii="Lato" w:cs="Lato" w:eastAsia="Lato" w:hAnsi="Lato"/>
                <w:b/>
                <w:bCs/>
                <w:color w:val="FFFFFF"/>
                <w:sz w:val="18"/>
                <w:szCs w:val="18"/>
              </w:rPr>
              <w:t xml:space="preserve">PAGE TYPE</w:t>
            </w:r>
          </w:p>
          <w:p>
            <w:pPr>
              <w:jc w:val="center"/>
            </w:pPr>
            <w:r>
              <w:rPr>
                <w:rFonts w:ascii="Lato" w:cs="Lato" w:eastAsia="Lato" w:hAnsi="Lato"/>
                <w:b/>
                <w:bCs/>
                <w:color w:val="FFFFFF"/>
                <w:sz w:val="28"/>
                <w:szCs w:val="28"/>
              </w:rPr>
              <w:t xml:space="preserve">Service Page</w:t>
            </w:r>
          </w:p>
        </w:tc>
        <w:tc>
          <w:tcPr>
            <w:tcW w:type="dxa" w:w="3120"/>
            <w:tcBorders>
              <w:top w:val="none" w:color="FFFFFF" w:sz="0"/>
              <w:left w:val="none" w:color="FFFFFF" w:sz="0"/>
              <w:bottom w:val="none" w:color="FFFFFF" w:sz="0"/>
              <w:right w:val="none" w:color="FFFFFF" w:sz="0"/>
            </w:tcBorders>
            <w:shd w:fill="ED835E" w:val="clear"/>
            <w:tcMar>
              <w:top w:type="dxa" w:w="120"/>
              <w:left w:type="dxa" w:w="200"/>
              <w:bottom w:type="dxa" w:w="120"/>
              <w:right w:type="dxa" w:w="200"/>
            </w:tcMar>
          </w:tcPr>
          <w:p>
            <w:pPr>
              <w:spacing w:after="40"/>
              <w:jc w:val="center"/>
            </w:pPr>
            <w:r>
              <w:rPr>
                <w:rFonts w:ascii="Lato" w:cs="Lato" w:eastAsia="Lato" w:hAnsi="Lato"/>
                <w:b/>
                <w:bCs/>
                <w:color w:val="FFFFFF"/>
                <w:sz w:val="18"/>
                <w:szCs w:val="18"/>
              </w:rPr>
              <w:t xml:space="preserve">PRIORITY</w:t>
            </w:r>
          </w:p>
          <w:p>
            <w:pPr>
              <w:jc w:val="center"/>
            </w:pPr>
            <w:r>
              <w:rPr>
                <w:rFonts w:ascii="Lato" w:cs="Lato" w:eastAsia="Lato" w:hAnsi="Lato"/>
                <w:b/>
                <w:bCs/>
                <w:color w:val="FFFFFF"/>
                <w:sz w:val="28"/>
                <w:szCs w:val="28"/>
              </w:rPr>
              <w:t xml:space="preserve">P1</w:t>
            </w:r>
          </w:p>
        </w:tc>
      </w:tr>
    </w:tbl>
    <w:p>
      <w:pPr>
        <w:spacing w:before="600"/>
        <w:jc w:val="center"/>
      </w:pPr>
      <w:r>
        <w:rPr>
          <w:rFonts w:ascii="Lato" w:cs="Lato" w:eastAsia="Lato" w:hAnsi="Lato"/>
          <w:color w:val="666666"/>
          <w:sz w:val="20"/>
          <w:szCs w:val="20"/>
        </w:rPr>
        <w:t xml:space="preserve">Phase 3: Content Creation | March 2026</w:t>
      </w:r>
    </w:p>
    <w:p>
      <w:pPr>
        <w:spacing w:after="200"/>
        <w:jc w:val="center"/>
      </w:pPr>
      <w:r>
        <w:rPr>
          <w:rFonts w:ascii="Lato" w:cs="Lato" w:eastAsia="Lato" w:hAnsi="Lato"/>
          <w:color w:val="666666"/>
          <w:sz w:val="20"/>
          <w:szCs w:val="20"/>
        </w:rPr>
        <w:t xml:space="preserve">Content Pillars: Assembly Services, Industry Expertise</w:t>
      </w:r>
    </w:p>
    <w:p>
      <w:pPr>
        <w:sectPr>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23555A" w:val="clear"/>
            <w:tcMar>
              <w:top w:type="dxa" w:w="60"/>
              <w:left w:type="dxa" w:w="120"/>
              <w:bottom w:type="dxa" w:w="60"/>
              <w:right w:type="dxa" w:w="120"/>
            </w:tcMar>
          </w:tcPr>
          <w:p>
            <w:r>
              <w:rPr>
                <w:rFonts w:ascii="Lato" w:cs="Lato" w:eastAsia="Lato" w:hAnsi="Lato"/>
                <w:b/>
                <w:bCs/>
                <w:color w:val="FFFFFF"/>
                <w:sz w:val="18"/>
                <w:szCs w:val="18"/>
              </w:rPr>
              <w:t xml:space="preserve">SEO Title</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Lato" w:cs="Lato" w:eastAsia="Lato" w:hAnsi="Lato"/>
                <w:color w:val="333333"/>
                <w:sz w:val="18"/>
                <w:szCs w:val="18"/>
              </w:rPr>
              <w:t xml:space="preserve">Box Build Assembly Services | OEM Assembly in Mexico | GPW (56 chars)</w:t>
            </w:r>
          </w:p>
        </w:tc>
      </w:tr>
      <w:tr>
        <w:tc>
          <w:tcPr>
            <w:tcW w:type="dxa" w:w="2400"/>
            <w:tcBorders>
              <w:top w:val="single" w:color="E0E0E0" w:sz="1"/>
              <w:left w:val="single" w:color="E0E0E0" w:sz="1"/>
              <w:bottom w:val="single" w:color="E0E0E0" w:sz="1"/>
              <w:right w:val="single" w:color="E0E0E0" w:sz="1"/>
            </w:tcBorders>
            <w:shd w:fill="23555A" w:val="clear"/>
            <w:tcMar>
              <w:top w:type="dxa" w:w="60"/>
              <w:left w:type="dxa" w:w="120"/>
              <w:bottom w:type="dxa" w:w="60"/>
              <w:right w:type="dxa" w:w="120"/>
            </w:tcMar>
          </w:tcPr>
          <w:p>
            <w:r>
              <w:rPr>
                <w:rFonts w:ascii="Lato" w:cs="Lato" w:eastAsia="Lato" w:hAnsi="Lato"/>
                <w:b/>
                <w:bCs/>
                <w:color w:val="FFFFFF"/>
                <w:sz w:val="18"/>
                <w:szCs w:val="18"/>
              </w:rPr>
              <w:t xml:space="preserve">Meta Description</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Lato" w:cs="Lato" w:eastAsia="Lato" w:hAnsi="Lato"/>
                <w:color w:val="333333"/>
                <w:sz w:val="18"/>
                <w:szCs w:val="18"/>
              </w:rPr>
              <w:t xml:space="preserve">Complete box build assembly from Monterrey — mechanical, electrical, cabling, firmware, testing, and packaging under one roof. Engineered for U.S. OEMs by GPW. (157 chars)</w:t>
            </w:r>
          </w:p>
        </w:tc>
      </w:tr>
      <w:tr>
        <w:tc>
          <w:tcPr>
            <w:tcW w:type="dxa" w:w="2400"/>
            <w:tcBorders>
              <w:top w:val="single" w:color="E0E0E0" w:sz="1"/>
              <w:left w:val="single" w:color="E0E0E0" w:sz="1"/>
              <w:bottom w:val="single" w:color="E0E0E0" w:sz="1"/>
              <w:right w:val="single" w:color="E0E0E0" w:sz="1"/>
            </w:tcBorders>
            <w:shd w:fill="23555A" w:val="clear"/>
            <w:tcMar>
              <w:top w:type="dxa" w:w="60"/>
              <w:left w:type="dxa" w:w="120"/>
              <w:bottom w:type="dxa" w:w="60"/>
              <w:right w:type="dxa" w:w="120"/>
            </w:tcMar>
          </w:tcPr>
          <w:p>
            <w:r>
              <w:rPr>
                <w:rFonts w:ascii="Lato" w:cs="Lato" w:eastAsia="Lato" w:hAnsi="Lato"/>
                <w:b/>
                <w:bCs/>
                <w:color w:val="FFFFFF"/>
                <w:sz w:val="18"/>
                <w:szCs w:val="18"/>
              </w:rPr>
              <w:t xml:space="preserve">Primary Keyword</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Lato" w:cs="Lato" w:eastAsia="Lato" w:hAnsi="Lato"/>
                <w:color w:val="333333"/>
                <w:sz w:val="18"/>
                <w:szCs w:val="18"/>
              </w:rPr>
              <w:t xml:space="preserve">box build assembly</w:t>
            </w:r>
          </w:p>
        </w:tc>
      </w:tr>
      <w:tr>
        <w:tc>
          <w:tcPr>
            <w:tcW w:type="dxa" w:w="2400"/>
            <w:tcBorders>
              <w:top w:val="single" w:color="E0E0E0" w:sz="1"/>
              <w:left w:val="single" w:color="E0E0E0" w:sz="1"/>
              <w:bottom w:val="single" w:color="E0E0E0" w:sz="1"/>
              <w:right w:val="single" w:color="E0E0E0" w:sz="1"/>
            </w:tcBorders>
            <w:shd w:fill="23555A" w:val="clear"/>
            <w:tcMar>
              <w:top w:type="dxa" w:w="60"/>
              <w:left w:type="dxa" w:w="120"/>
              <w:bottom w:type="dxa" w:w="60"/>
              <w:right w:type="dxa" w:w="120"/>
            </w:tcMar>
          </w:tcPr>
          <w:p>
            <w:r>
              <w:rPr>
                <w:rFonts w:ascii="Lato" w:cs="Lato" w:eastAsia="Lato" w:hAnsi="Lato"/>
                <w:b/>
                <w:bCs/>
                <w:color w:val="FFFFFF"/>
                <w:sz w:val="18"/>
                <w:szCs w:val="18"/>
              </w:rPr>
              <w:t xml:space="preserve">Primary CTA</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Lato" w:cs="Lato" w:eastAsia="Lato" w:hAnsi="Lato"/>
                <w:color w:val="333333"/>
                <w:sz w:val="18"/>
                <w:szCs w:val="18"/>
              </w:rPr>
              <w:t xml:space="preserve">Request a Quote</w:t>
            </w:r>
          </w:p>
        </w:tc>
      </w:tr>
      <w:tr>
        <w:tc>
          <w:tcPr>
            <w:tcW w:type="dxa" w:w="2400"/>
            <w:tcBorders>
              <w:top w:val="single" w:color="E0E0E0" w:sz="1"/>
              <w:left w:val="single" w:color="E0E0E0" w:sz="1"/>
              <w:bottom w:val="single" w:color="E0E0E0" w:sz="1"/>
              <w:right w:val="single" w:color="E0E0E0" w:sz="1"/>
            </w:tcBorders>
            <w:shd w:fill="23555A" w:val="clear"/>
            <w:tcMar>
              <w:top w:type="dxa" w:w="60"/>
              <w:left w:type="dxa" w:w="120"/>
              <w:bottom w:type="dxa" w:w="60"/>
              <w:right w:type="dxa" w:w="120"/>
            </w:tcMar>
          </w:tcPr>
          <w:p>
            <w:r>
              <w:rPr>
                <w:rFonts w:ascii="Lato" w:cs="Lato" w:eastAsia="Lato" w:hAnsi="Lato"/>
                <w:b/>
                <w:bCs/>
                <w:color w:val="FFFFFF"/>
                <w:sz w:val="18"/>
                <w:szCs w:val="18"/>
              </w:rPr>
              <w:t xml:space="preserve">Secondary CTA</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Lato" w:cs="Lato" w:eastAsia="Lato" w:hAnsi="Lato"/>
                <w:color w:val="333333"/>
                <w:sz w:val="18"/>
                <w:szCs w:val="18"/>
              </w:rPr>
              <w:t xml:space="preserve">Explore Related Services</w:t>
            </w:r>
          </w:p>
        </w:tc>
      </w:tr>
    </w:tbl>
    <w:p>
      <w:pPr>
        <w:spacing w:after="200"/>
      </w:pPr>
    </w:p>
    <w:p>
      <w:pPr>
        <w:pStyle w:val="Heading1"/>
        <w:spacing w:after="200" w:before="360"/>
      </w:pPr>
      <w:r>
        <w:rPr>
          <w:rFonts w:ascii="Trirong" w:cs="Trirong" w:eastAsia="Trirong" w:hAnsi="Trirong"/>
          <w:b/>
          <w:bCs/>
          <w:color w:val="23555A"/>
          <w:sz w:val="36"/>
          <w:szCs w:val="36"/>
        </w:rPr>
        <w:t xml:space="preserve">Box Build Assembly — From BOM to Finished Product Under One Roof</w:t>
      </w:r>
    </w:p>
    <w:p>
      <w:pPr>
        <w:spacing w:after="160"/>
        <w:rPr>
          <w:i/>
          <w:iCs/>
          <w:color w:val="2A4E64"/>
          <w:sz w:val="24"/>
          <w:szCs w:val="24"/>
        </w:rPr>
      </w:pPr>
      <w:r>
        <w:rPr>
          <w:rFonts w:ascii="Lato" w:cs="Lato" w:eastAsia="Lato" w:hAnsi="Lato"/>
          <w:i/>
          <w:iCs/>
          <w:color w:val="2A4E64"/>
          <w:sz w:val="24"/>
          <w:szCs w:val="24"/>
        </w:rPr>
        <w:t xml:space="preserve">Global Precision Works (GPW) integrates mechanical structures, electrical components, cabling, firmware, and testing into a single production program — delivering fully assembled, tested products ready to ship from Monterrey to your dock.</w:t>
      </w:r>
    </w:p>
    <w:p>
      <w:pPr>
        <w:spacing w:after="160"/>
      </w:pPr>
      <w:r>
        <w:rPr>
          <w:rFonts w:ascii="Lato" w:cs="Lato" w:eastAsia="Lato" w:hAnsi="Lato"/>
          <w:color w:val="333333"/>
          <w:sz w:val="22"/>
          <w:szCs w:val="22"/>
        </w:rPr>
        <w:t xml:space="preserve">Your product is more than a circuit board. It is a chassis with mounted PCBAs, routed cables, installed connectors, loaded firmware, and validated test results. Box build assembly is the service that brings all of those elements together. GPW manages the full scope — mechanical, electrical, cabling, and testing — on one production floor, under one quality system, with one program manager accountable for every unit.</w:t>
      </w:r>
    </w:p>
    <w:p>
      <w:pPr>
        <w:spacing w:after="160"/>
      </w:pPr>
      <w:r>
        <w:rPr>
          <w:rFonts w:ascii="Lato" w:cs="Lato" w:eastAsia="Lato" w:hAnsi="Lato"/>
          <w:color w:val="333333"/>
          <w:sz w:val="22"/>
          <w:szCs w:val="22"/>
        </w:rPr>
        <w:t xml:space="preserve">Most EMS providers treat box build as a secondary capability — an add-on to their PCBA fabrication lines. GPW treats it as the primary discipline. Every resource on our production floor — from fixture design to operator training to quality systems — is built around one objective: assembling complex products that meet your specifications the first time.</w:t>
      </w:r>
    </w:p>
    <w:p>
      <w:pPr>
        <w:spacing w:after="160"/>
      </w:pPr>
      <w:r>
        <w:rPr>
          <w:rFonts w:ascii="Lato" w:cs="Lato" w:eastAsia="Lato" w:hAnsi="Lato"/>
          <w:color w:val="333333"/>
          <w:sz w:val="22"/>
          <w:szCs w:val="22"/>
        </w:rPr>
        <w:t xml:space="preserve">This assembly-first approach changes how programs are managed. Instead of fitting your box build into gaps between SMT line runs, GPW schedules your program on a dedicated production line with trained operators, configured fixtures, and calibrated test equipment — ready on day one. Your program manager works from Monterrey in the same timezone as your U.S. operations team, available for real-time coordination without overnight email chains.</w:t>
      </w:r>
    </w:p>
    <w:p>
      <w:pPr>
        <w:pBdr>
          <w:bottom w:val="single" w:color="ADCF91" w:sz="6" w:space="1"/>
        </w:pBdr>
        <w:spacing w:after="200" w:before="200"/>
      </w:pPr>
    </w:p>
    <w:p>
      <w:pPr>
        <w:pStyle w:val="Heading2"/>
        <w:spacing w:after="160" w:before="300"/>
      </w:pPr>
      <w:r>
        <w:rPr>
          <w:rFonts w:ascii="Trirong" w:cs="Trirong" w:eastAsia="Trirong" w:hAnsi="Trirong"/>
          <w:b/>
          <w:bCs/>
          <w:color w:val="2A4E64"/>
          <w:sz w:val="28"/>
          <w:szCs w:val="28"/>
        </w:rPr>
        <w:t xml:space="preserve">What Is Box Build Assembly?</w:t>
      </w:r>
    </w:p>
    <w:p>
      <w:pPr>
        <w:spacing w:after="160"/>
      </w:pPr>
      <w:r>
        <w:rPr>
          <w:rFonts w:ascii="Lato" w:cs="Lato" w:eastAsia="Lato" w:hAnsi="Lato"/>
          <w:color w:val="333333"/>
          <w:sz w:val="22"/>
          <w:szCs w:val="22"/>
        </w:rPr>
        <w:t xml:space="preserve">Box build assembly is the process of integrating mechanical, electrical, and electromechanical components into a finished enclosure or housing. It takes individual parts — PCBAs, connectors, power supplies, fans, cables, brackets, and fasteners — and builds them into a complete product that is tested, labeled, and ready for shipment. Box build is distinct from PCBA fabrication: while a board house produces circuit boards, a box build facility takes those boards and all other components and assembles the final product.</w:t>
      </w:r>
    </w:p>
    <w:p>
      <w:pPr>
        <w:spacing w:after="160"/>
      </w:pPr>
      <w:r>
        <w:rPr>
          <w:rFonts w:ascii="Lato" w:cs="Lato" w:eastAsia="Lato" w:hAnsi="Lato"/>
          <w:b/>
          <w:bCs/>
          <w:color w:val="2A4E64"/>
          <w:sz w:val="22"/>
          <w:szCs w:val="22"/>
        </w:rPr>
        <w:t xml:space="preserve">Key characteristics:</w:t>
      </w:r>
    </w:p>
    <w:p>
      <w:pPr>
        <w:pStyle w:val="ListParagraph"/>
        <w:numPr>
          <w:ilvl w:val="0"/>
          <w:numId w:val="2"/>
        </w:numPr>
        <w:spacing w:after="80"/>
      </w:pPr>
      <w:r>
        <w:rPr>
          <w:rFonts w:ascii="Lato" w:cs="Lato" w:eastAsia="Lato" w:hAnsi="Lato"/>
          <w:color w:val="333333"/>
          <w:sz w:val="22"/>
          <w:szCs w:val="22"/>
        </w:rPr>
        <w:t xml:space="preserve">Combines mechanical sub-assemblies with electrical wiring and component integration</w:t>
      </w:r>
    </w:p>
    <w:p>
      <w:pPr>
        <w:pStyle w:val="ListParagraph"/>
        <w:numPr>
          <w:ilvl w:val="0"/>
          <w:numId w:val="2"/>
        </w:numPr>
        <w:spacing w:after="80"/>
      </w:pPr>
      <w:r>
        <w:rPr>
          <w:rFonts w:ascii="Lato" w:cs="Lato" w:eastAsia="Lato" w:hAnsi="Lato"/>
          <w:color w:val="333333"/>
          <w:sz w:val="22"/>
          <w:szCs w:val="22"/>
        </w:rPr>
        <w:t xml:space="preserve">Includes cable harness routing, connector installation, and power distribution</w:t>
      </w:r>
    </w:p>
    <w:p>
      <w:pPr>
        <w:pStyle w:val="ListParagraph"/>
        <w:numPr>
          <w:ilvl w:val="0"/>
          <w:numId w:val="2"/>
        </w:numPr>
        <w:spacing w:after="80"/>
      </w:pPr>
      <w:r>
        <w:rPr>
          <w:rFonts w:ascii="Lato" w:cs="Lato" w:eastAsia="Lato" w:hAnsi="Lato"/>
          <w:color w:val="333333"/>
          <w:sz w:val="22"/>
          <w:szCs w:val="22"/>
        </w:rPr>
        <w:t xml:space="preserve">Incorporates firmware loading, configuration, and functional testing</w:t>
      </w:r>
    </w:p>
    <w:p>
      <w:pPr>
        <w:pStyle w:val="ListParagraph"/>
        <w:numPr>
          <w:ilvl w:val="0"/>
          <w:numId w:val="2"/>
        </w:numPr>
        <w:spacing w:after="80"/>
      </w:pPr>
      <w:r>
        <w:rPr>
          <w:rFonts w:ascii="Lato" w:cs="Lato" w:eastAsia="Lato" w:hAnsi="Lato"/>
          <w:color w:val="333333"/>
          <w:sz w:val="22"/>
          <w:szCs w:val="22"/>
        </w:rPr>
        <w:t xml:space="preserve">Covers cosmetic inspection, labeling, and final packaging</w:t>
      </w:r>
    </w:p>
    <w:p>
      <w:pPr>
        <w:pStyle w:val="ListParagraph"/>
        <w:numPr>
          <w:ilvl w:val="0"/>
          <w:numId w:val="2"/>
        </w:numPr>
        <w:spacing w:after="80"/>
      </w:pPr>
      <w:r>
        <w:rPr>
          <w:rFonts w:ascii="Lato" w:cs="Lato" w:eastAsia="Lato" w:hAnsi="Lato"/>
          <w:color w:val="333333"/>
          <w:sz w:val="22"/>
          <w:szCs w:val="22"/>
        </w:rPr>
        <w:t xml:space="preserve">Requires documented processes, controlled workstations, and trained technicians</w:t>
      </w:r>
    </w:p>
    <w:p>
      <w:pPr>
        <w:spacing w:after="160"/>
      </w:pPr>
      <w:r>
        <w:rPr>
          <w:rFonts w:ascii="Lato" w:cs="Lato" w:eastAsia="Lato" w:hAnsi="Lato"/>
          <w:b/>
          <w:bCs/>
          <w:color w:val="23555A"/>
          <w:sz w:val="22"/>
          <w:szCs w:val="22"/>
        </w:rPr>
        <w:t xml:space="preserve">Example: </w:t>
      </w:r>
      <w:r>
        <w:rPr>
          <w:rFonts w:ascii="Lato" w:cs="Lato" w:eastAsia="Lato" w:hAnsi="Lato"/>
          <w:color w:val="333333"/>
          <w:sz w:val="22"/>
          <w:szCs w:val="22"/>
        </w:rPr>
        <w:t xml:space="preserve">A telecom equipment OEM needs a finished cabinet assembled from a sheet metal enclosure, 3 PCBAs, a power supply, 12 cable harnesses, and 40+ connectors. GPW can source every component through its own supplier network, procure through the customer’s approved vendors, or receive customer-furnished materials — whichever model fits the program. GPW mounts the boards, routes the cables, installs the power supply, loads firmware, runs a 47-point functional test, applies labels, and ships a finished unit — packaged and palletized to the customer’s specifications.</w:t>
      </w:r>
    </w:p>
    <w:p>
      <w:pPr>
        <w:spacing w:after="160"/>
      </w:pPr>
      <w:r>
        <w:rPr>
          <w:rFonts w:ascii="Lato" w:cs="Lato" w:eastAsia="Lato" w:hAnsi="Lato"/>
          <w:b/>
          <w:bCs/>
          <w:color w:val="23555A"/>
          <w:sz w:val="22"/>
          <w:szCs w:val="22"/>
        </w:rPr>
        <w:t xml:space="preserve">Why this matters for OEMs: </w:t>
      </w:r>
      <w:r>
        <w:rPr>
          <w:rFonts w:ascii="Lato" w:cs="Lato" w:eastAsia="Lato" w:hAnsi="Lato"/>
          <w:color w:val="333333"/>
          <w:sz w:val="22"/>
          <w:szCs w:val="22"/>
        </w:rPr>
        <w:t xml:space="preserve">Box build consolidates what would otherwise require 3-4 separate suppliers — a mechanical assembler, a cable shop, a test house, and a packaging provider — into a single program. One purchase order. One accountability chain. One quality system from receiving dock to shipping dock.</w:t>
      </w:r>
    </w:p>
    <w:p>
      <w:pPr>
        <w:spacing w:after="160"/>
      </w:pPr>
      <w:r>
        <w:rPr>
          <w:rFonts w:ascii="Lato" w:cs="Lato" w:eastAsia="Lato" w:hAnsi="Lato"/>
          <w:color w:val="333333"/>
          <w:sz w:val="22"/>
          <w:szCs w:val="22"/>
        </w:rPr>
        <w:t xml:space="preserve">When those 3-4 suppliers are coordinated separately, every handoff introduces risk: damaged components in transit, miscommunication on revision levels, finger-pointing when a unit fails at the customer’s dock. A single-source box build program eliminates those handoffs. GPW receives your components, assembles the product, tests it, packages it, and ships it — with one team responsible for the result.</w:t>
      </w:r>
    </w:p>
    <w:p>
      <w:pPr>
        <w:pBdr>
          <w:bottom w:val="single" w:color="ADCF91" w:sz="6" w:space="1"/>
        </w:pBdr>
        <w:spacing w:after="200" w:before="200"/>
      </w:pPr>
    </w:p>
    <w:p>
      <w:pPr>
        <w:pStyle w:val="Heading2"/>
        <w:spacing w:after="160" w:before="300"/>
      </w:pPr>
      <w:r>
        <w:rPr>
          <w:rFonts w:ascii="Trirong" w:cs="Trirong" w:eastAsia="Trirong" w:hAnsi="Trirong"/>
          <w:b/>
          <w:bCs/>
          <w:color w:val="2A4E64"/>
          <w:sz w:val="28"/>
          <w:szCs w:val="28"/>
        </w:rPr>
        <w:t xml:space="preserve">How Does GPW Execute a Box Build Program?</w:t>
      </w:r>
    </w:p>
    <w:p>
      <w:pPr>
        <w:spacing w:after="160"/>
      </w:pPr>
      <w:r>
        <w:rPr>
          <w:rFonts w:ascii="Lato" w:cs="Lato" w:eastAsia="Lato" w:hAnsi="Lato"/>
          <w:color w:val="333333"/>
          <w:sz w:val="22"/>
          <w:szCs w:val="22"/>
        </w:rPr>
        <w:t xml:space="preserve">Every box build program at GPW follows a structured, repeatable process. This is not a general assembly floor where technicians improvise builds from drawings. Every step is documented, every station is configured for the specific product, and every quality gate is defined before the first unit enters the line.</w:t>
      </w:r>
    </w:p>
    <w:p>
      <w:pPr>
        <w:spacing w:after="120" w:before="240"/>
      </w:pPr>
      <w:r>
        <w:rPr>
          <w:rFonts w:ascii="Trirong" w:cs="Trirong" w:eastAsia="Trirong" w:hAnsi="Trirong"/>
          <w:b/>
          <w:bCs/>
          <w:color w:val="23555A"/>
          <w:sz w:val="24"/>
          <w:szCs w:val="24"/>
        </w:rPr>
        <w:t xml:space="preserve">Step 1: Program Launch and DFM Review</w:t>
      </w:r>
    </w:p>
    <w:p>
      <w:pPr>
        <w:spacing w:after="160"/>
      </w:pPr>
      <w:r>
        <w:rPr>
          <w:rFonts w:ascii="Lato" w:cs="Lato" w:eastAsia="Lato" w:hAnsi="Lato"/>
          <w:color w:val="333333"/>
          <w:sz w:val="22"/>
          <w:szCs w:val="22"/>
        </w:rPr>
        <w:t xml:space="preserve">When a customer submits an RFQ with a bill of materials, GPW’s engineering team performs a full design-for-manufacturing (DFM) review before quoting. This review evaluates assembly sequence optimization, component accessibility, cable routing feasibility, test point locations, and potential risks.</w:t>
      </w:r>
    </w:p>
    <w:p>
      <w:pPr>
        <w:spacing w:after="160"/>
      </w:pPr>
      <w:r>
        <w:rPr>
          <w:rFonts w:ascii="Lato" w:cs="Lato" w:eastAsia="Lato" w:hAnsi="Lato"/>
          <w:color w:val="333333"/>
          <w:sz w:val="22"/>
          <w:szCs w:val="22"/>
        </w:rPr>
        <w:t xml:space="preserve">The DFM review produces a detailed process plan: step-by-step assembly instructions, station assignments, fixture requirements, tool lists, and quality gate definitions. If GPW’s engineers identify design improvements that reduce assembly time or improve reliability, those recommendations go back to the customer before production begins.</w:t>
      </w:r>
    </w:p>
    <w:p>
      <w:pPr>
        <w:spacing w:after="160"/>
      </w:pPr>
      <w:r>
        <w:rPr>
          <w:rFonts w:ascii="Lato" w:cs="Lato" w:eastAsia="Lato" w:hAnsi="Lato"/>
          <w:color w:val="333333"/>
          <w:sz w:val="22"/>
          <w:szCs w:val="22"/>
        </w:rPr>
        <w:t xml:space="preserve">GPW’s DFM review is not a formality. It is a working session where GPW’s engineers flag potential improvements — assembly sequence changes that reduce cycle time, component placement adjustments that improve test access, or cable routing modifications that eliminate failure points. When improvements are identified, those recommendations go back to the customer for approval before production begins.</w:t>
      </w:r>
    </w:p>
    <w:p>
      <w:pPr>
        <w:spacing w:after="160"/>
      </w:pPr>
      <w:r>
        <w:rPr>
          <w:rFonts w:ascii="Lato" w:cs="Lato" w:eastAsia="Lato" w:hAnsi="Lato"/>
          <w:b/>
          <w:bCs/>
          <w:color w:val="23555A"/>
          <w:sz w:val="22"/>
          <w:szCs w:val="22"/>
        </w:rPr>
        <w:t xml:space="preserve">Outcome: </w:t>
      </w:r>
      <w:r>
        <w:rPr>
          <w:rFonts w:ascii="Lato" w:cs="Lato" w:eastAsia="Lato" w:hAnsi="Lato"/>
          <w:color w:val="333333"/>
          <w:sz w:val="22"/>
          <w:szCs w:val="22"/>
        </w:rPr>
        <w:t xml:space="preserve">A production-ready process plan with no ambiguity about how each unit will be built.</w:t>
      </w:r>
    </w:p>
    <w:p>
      <w:pPr>
        <w:spacing w:after="120" w:before="240"/>
      </w:pPr>
      <w:r>
        <w:rPr>
          <w:rFonts w:ascii="Trirong" w:cs="Trirong" w:eastAsia="Trirong" w:hAnsi="Trirong"/>
          <w:b/>
          <w:bCs/>
          <w:color w:val="23555A"/>
          <w:sz w:val="24"/>
          <w:szCs w:val="24"/>
        </w:rPr>
        <w:t xml:space="preserve">Step 2: First Article Build and Validation</w:t>
      </w:r>
    </w:p>
    <w:p>
      <w:pPr>
        <w:spacing w:after="160"/>
      </w:pPr>
      <w:r>
        <w:rPr>
          <w:rFonts w:ascii="Lato" w:cs="Lato" w:eastAsia="Lato" w:hAnsi="Lato"/>
          <w:color w:val="333333"/>
          <w:sz w:val="22"/>
          <w:szCs w:val="22"/>
        </w:rPr>
        <w:t xml:space="preserve">Before volume production begins, GPW builds and validates first article units. The first article build follows the process plan exactly as documented — no shortcuts, no workarounds. This build validates assembly sequence, fixture fit, cable routing paths, test protocol execution, and cycle time targets.</w:t>
      </w:r>
    </w:p>
    <w:p>
      <w:pPr>
        <w:spacing w:after="160"/>
      </w:pPr>
      <w:r>
        <w:rPr>
          <w:rFonts w:ascii="Lato" w:cs="Lato" w:eastAsia="Lato" w:hAnsi="Lato"/>
          <w:color w:val="333333"/>
          <w:sz w:val="22"/>
          <w:szCs w:val="22"/>
        </w:rPr>
        <w:t xml:space="preserve">GPW documents every observation from the first article build: steps that took longer than planned, clearance issues, cable management improvements, and test protocol refinements. These observations feed back into the process plan as revisions before production ramp.</w:t>
      </w:r>
    </w:p>
    <w:p>
      <w:pPr>
        <w:spacing w:after="160"/>
      </w:pPr>
      <w:r>
        <w:rPr>
          <w:rFonts w:ascii="Lato" w:cs="Lato" w:eastAsia="Lato" w:hAnsi="Lato"/>
          <w:color w:val="333333"/>
          <w:sz w:val="22"/>
          <w:szCs w:val="22"/>
        </w:rPr>
        <w:t xml:space="preserve">The first article build is where assumptions become facts. Estimated cycle times become measured cycle times. Cable routing paths that looked feasible on paper are validated physically. Test protocols are executed against real hardware, not simulations. GPW does not move to production until the first article results confirm the process plan is ready.</w:t>
      </w:r>
    </w:p>
    <w:p>
      <w:pPr>
        <w:spacing w:after="160"/>
      </w:pPr>
      <w:r>
        <w:rPr>
          <w:rFonts w:ascii="Lato" w:cs="Lato" w:eastAsia="Lato" w:hAnsi="Lato"/>
          <w:b/>
          <w:bCs/>
          <w:color w:val="23555A"/>
          <w:sz w:val="22"/>
          <w:szCs w:val="22"/>
        </w:rPr>
        <w:t xml:space="preserve">Outcome: </w:t>
      </w:r>
      <w:r>
        <w:rPr>
          <w:rFonts w:ascii="Lato" w:cs="Lato" w:eastAsia="Lato" w:hAnsi="Lato"/>
          <w:color w:val="333333"/>
          <w:sz w:val="22"/>
          <w:szCs w:val="22"/>
        </w:rPr>
        <w:t xml:space="preserve">A validated build process with documented cycle times and a first article inspection (FAI) report.</w:t>
      </w:r>
    </w:p>
    <w:p>
      <w:pPr>
        <w:spacing w:after="120" w:before="240"/>
      </w:pPr>
      <w:r>
        <w:rPr>
          <w:rFonts w:ascii="Trirong" w:cs="Trirong" w:eastAsia="Trirong" w:hAnsi="Trirong"/>
          <w:b/>
          <w:bCs/>
          <w:color w:val="23555A"/>
          <w:sz w:val="24"/>
          <w:szCs w:val="24"/>
        </w:rPr>
        <w:t xml:space="preserve">Step 3: Production Assembly</w:t>
      </w:r>
    </w:p>
    <w:p>
      <w:pPr>
        <w:spacing w:after="160"/>
      </w:pPr>
      <w:r>
        <w:rPr>
          <w:rFonts w:ascii="Lato" w:cs="Lato" w:eastAsia="Lato" w:hAnsi="Lato"/>
          <w:color w:val="333333"/>
          <w:sz w:val="22"/>
          <w:szCs w:val="22"/>
        </w:rPr>
        <w:t xml:space="preserve">Production assembly follows the validated process plan across dedicated workstations. Each station handles a defined scope — mechanical mounting, electrical integration, cable routing, or sub-assembly preparation. Operators work from visual work instructions displayed at the station, with each step requiring sign-off before the unit moves forward.</w:t>
      </w:r>
    </w:p>
    <w:p>
      <w:pPr>
        <w:spacing w:after="160"/>
      </w:pPr>
      <w:r>
        <w:rPr>
          <w:rFonts w:ascii="Lato" w:cs="Lato" w:eastAsia="Lato" w:hAnsi="Lato"/>
          <w:color w:val="333333"/>
          <w:sz w:val="22"/>
          <w:szCs w:val="22"/>
        </w:rPr>
        <w:t xml:space="preserve">GPW manages component flow through a controlled material system. The receiving team inspects and kits every part before it reaches the assembly line. BOM-level traceability tracks every component from receiving through final shipment — including lot numbers, date codes, and supplier certifications.</w:t>
      </w:r>
    </w:p>
    <w:p>
      <w:pPr>
        <w:spacing w:after="160"/>
      </w:pPr>
      <w:r>
        <w:rPr>
          <w:rFonts w:ascii="Lato" w:cs="Lato" w:eastAsia="Lato" w:hAnsi="Lato"/>
          <w:color w:val="333333"/>
          <w:sz w:val="22"/>
          <w:szCs w:val="22"/>
        </w:rPr>
        <w:t xml:space="preserve">This controlled material and assembly system eliminates two of the most common failure modes in contract assembly: wrong components reaching the line, and operators deviating from the documented process. Every unit is built the same way, every time.</w:t>
      </w:r>
    </w:p>
    <w:p>
      <w:pPr>
        <w:spacing w:after="160"/>
      </w:pPr>
      <w:r>
        <w:rPr>
          <w:rFonts w:ascii="Lato" w:cs="Lato" w:eastAsia="Lato" w:hAnsi="Lato"/>
          <w:b/>
          <w:bCs/>
          <w:color w:val="23555A"/>
          <w:sz w:val="22"/>
          <w:szCs w:val="22"/>
        </w:rPr>
        <w:t xml:space="preserve">Outcome: </w:t>
      </w:r>
      <w:r>
        <w:rPr>
          <w:rFonts w:ascii="Lato" w:cs="Lato" w:eastAsia="Lato" w:hAnsi="Lato"/>
          <w:color w:val="333333"/>
          <w:sz w:val="22"/>
          <w:szCs w:val="22"/>
        </w:rPr>
        <w:t xml:space="preserve">Assembled units that match the validated process plan, with full component traceability.</w:t>
      </w:r>
    </w:p>
    <w:p>
      <w:pPr>
        <w:spacing w:after="120" w:before="240"/>
      </w:pPr>
      <w:r>
        <w:rPr>
          <w:rFonts w:ascii="Trirong" w:cs="Trirong" w:eastAsia="Trirong" w:hAnsi="Trirong"/>
          <w:b/>
          <w:bCs/>
          <w:color w:val="23555A"/>
          <w:sz w:val="24"/>
          <w:szCs w:val="24"/>
        </w:rPr>
        <w:t xml:space="preserve">Step 4: Testing, Inspection, and Quality Gates</w:t>
      </w:r>
    </w:p>
    <w:p>
      <w:pPr>
        <w:spacing w:after="160"/>
      </w:pPr>
      <w:r>
        <w:rPr>
          <w:rFonts w:ascii="Lato" w:cs="Lato" w:eastAsia="Lato" w:hAnsi="Lato"/>
          <w:color w:val="333333"/>
          <w:sz w:val="22"/>
          <w:szCs w:val="22"/>
        </w:rPr>
        <w:t xml:space="preserve">Testing at GPW is not a single end-of-line checkpoint. GPW integrates quality gates throughout the assembly process:</w:t>
      </w:r>
    </w:p>
    <w:p>
      <w:pPr>
        <w:pStyle w:val="ListParagraph"/>
        <w:numPr>
          <w:ilvl w:val="0"/>
          <w:numId w:val="3"/>
        </w:numPr>
        <w:spacing w:after="80"/>
      </w:pPr>
      <w:r>
        <w:rPr>
          <w:rFonts w:ascii="Lato" w:cs="Lato" w:eastAsia="Lato" w:hAnsi="Lato"/>
          <w:b/>
          <w:bCs/>
          <w:color w:val="23555A"/>
          <w:sz w:val="22"/>
          <w:szCs w:val="22"/>
        </w:rPr>
        <w:t xml:space="preserve">Incoming inspection: </w:t>
      </w:r>
      <w:r>
        <w:rPr>
          <w:rFonts w:ascii="Lato" w:cs="Lato" w:eastAsia="Lato" w:hAnsi="Lato"/>
          <w:color w:val="333333"/>
          <w:sz w:val="22"/>
          <w:szCs w:val="22"/>
        </w:rPr>
        <w:t xml:space="preserve">Components verified against the approved vendor list and incoming quality standards</w:t>
      </w:r>
    </w:p>
    <w:p>
      <w:pPr>
        <w:pStyle w:val="ListParagraph"/>
        <w:numPr>
          <w:ilvl w:val="0"/>
          <w:numId w:val="3"/>
        </w:numPr>
        <w:spacing w:after="80"/>
      </w:pPr>
      <w:r>
        <w:rPr>
          <w:rFonts w:ascii="Lato" w:cs="Lato" w:eastAsia="Lato" w:hAnsi="Lato"/>
          <w:b/>
          <w:bCs/>
          <w:color w:val="23555A"/>
          <w:sz w:val="22"/>
          <w:szCs w:val="22"/>
        </w:rPr>
        <w:t xml:space="preserve">In-process gates: </w:t>
      </w:r>
      <w:r>
        <w:rPr>
          <w:rFonts w:ascii="Lato" w:cs="Lato" w:eastAsia="Lato" w:hAnsi="Lato"/>
          <w:color w:val="333333"/>
          <w:sz w:val="22"/>
          <w:szCs w:val="22"/>
        </w:rPr>
        <w:t xml:space="preserve">Visual inspection and continuity checks at critical assembly stations</w:t>
      </w:r>
    </w:p>
    <w:p>
      <w:pPr>
        <w:pStyle w:val="ListParagraph"/>
        <w:numPr>
          <w:ilvl w:val="0"/>
          <w:numId w:val="3"/>
        </w:numPr>
        <w:spacing w:after="80"/>
      </w:pPr>
      <w:r>
        <w:rPr>
          <w:rFonts w:ascii="Lato" w:cs="Lato" w:eastAsia="Lato" w:hAnsi="Lato"/>
          <w:b/>
          <w:bCs/>
          <w:color w:val="23555A"/>
          <w:sz w:val="22"/>
          <w:szCs w:val="22"/>
        </w:rPr>
        <w:t xml:space="preserve">Functional testing: </w:t>
      </w:r>
      <w:r>
        <w:rPr>
          <w:rFonts w:ascii="Lato" w:cs="Lato" w:eastAsia="Lato" w:hAnsi="Lato"/>
          <w:color w:val="333333"/>
          <w:sz w:val="22"/>
          <w:szCs w:val="22"/>
        </w:rPr>
        <w:t xml:space="preserve">End-of-line testing with documented pass/fail criteria specific to each product</w:t>
      </w:r>
    </w:p>
    <w:p>
      <w:pPr>
        <w:pStyle w:val="ListParagraph"/>
        <w:numPr>
          <w:ilvl w:val="0"/>
          <w:numId w:val="3"/>
        </w:numPr>
        <w:spacing w:after="80"/>
      </w:pPr>
      <w:r>
        <w:rPr>
          <w:rFonts w:ascii="Lato" w:cs="Lato" w:eastAsia="Lato" w:hAnsi="Lato"/>
          <w:b/>
          <w:bCs/>
          <w:color w:val="23555A"/>
          <w:sz w:val="22"/>
          <w:szCs w:val="22"/>
        </w:rPr>
        <w:t xml:space="preserve">Burn-in (when required): </w:t>
      </w:r>
      <w:r>
        <w:rPr>
          <w:rFonts w:ascii="Lato" w:cs="Lato" w:eastAsia="Lato" w:hAnsi="Lato"/>
          <w:color w:val="333333"/>
          <w:sz w:val="22"/>
          <w:szCs w:val="22"/>
        </w:rPr>
        <w:t xml:space="preserve">Extended operational testing under load to identify early-life failures</w:t>
      </w:r>
    </w:p>
    <w:p>
      <w:pPr>
        <w:pStyle w:val="ListParagraph"/>
        <w:numPr>
          <w:ilvl w:val="0"/>
          <w:numId w:val="3"/>
        </w:numPr>
        <w:spacing w:after="80"/>
      </w:pPr>
      <w:r>
        <w:rPr>
          <w:rFonts w:ascii="Lato" w:cs="Lato" w:eastAsia="Lato" w:hAnsi="Lato"/>
          <w:b/>
          <w:bCs/>
          <w:color w:val="23555A"/>
          <w:sz w:val="22"/>
          <w:szCs w:val="22"/>
        </w:rPr>
        <w:t xml:space="preserve">Hi-Pot testing: </w:t>
      </w:r>
      <w:r>
        <w:rPr>
          <w:rFonts w:ascii="Lato" w:cs="Lato" w:eastAsia="Lato" w:hAnsi="Lato"/>
          <w:color w:val="333333"/>
          <w:sz w:val="22"/>
          <w:szCs w:val="22"/>
        </w:rPr>
        <w:t xml:space="preserve">High-potential voltage testing for electrical safety compliance</w:t>
      </w:r>
    </w:p>
    <w:p>
      <w:pPr>
        <w:pStyle w:val="ListParagraph"/>
        <w:numPr>
          <w:ilvl w:val="0"/>
          <w:numId w:val="3"/>
        </w:numPr>
        <w:spacing w:after="80"/>
      </w:pPr>
      <w:r>
        <w:rPr>
          <w:rFonts w:ascii="Lato" w:cs="Lato" w:eastAsia="Lato" w:hAnsi="Lato"/>
          <w:b/>
          <w:bCs/>
          <w:color w:val="23555A"/>
          <w:sz w:val="22"/>
          <w:szCs w:val="22"/>
        </w:rPr>
        <w:t xml:space="preserve">Final inspection: </w:t>
      </w:r>
      <w:r>
        <w:rPr>
          <w:rFonts w:ascii="Lato" w:cs="Lato" w:eastAsia="Lato" w:hAnsi="Lato"/>
          <w:color w:val="333333"/>
          <w:sz w:val="22"/>
          <w:szCs w:val="22"/>
        </w:rPr>
        <w:t xml:space="preserve">Cosmetic review, label verification, and packaging audit</w:t>
      </w:r>
    </w:p>
    <w:p>
      <w:pPr>
        <w:spacing w:after="160"/>
      </w:pPr>
      <w:r>
        <w:rPr>
          <w:rFonts w:ascii="Lato" w:cs="Lato" w:eastAsia="Lato" w:hAnsi="Lato"/>
          <w:color w:val="333333"/>
          <w:sz w:val="22"/>
          <w:szCs w:val="22"/>
        </w:rPr>
        <w:t xml:space="preserve">Each test produces documented results tied to the unit’s serial number. If a unit fails any gate, technicians route it to a dedicated rework station — never pushing it through the line. The team documents the failure, identifies the root cause, and feeds corrective actions back into the process to prevent recurrence.</w:t>
      </w:r>
    </w:p>
    <w:p>
      <w:pPr>
        <w:spacing w:after="160"/>
      </w:pPr>
      <w:r>
        <w:rPr>
          <w:rFonts w:ascii="Lato" w:cs="Lato" w:eastAsia="Lato" w:hAnsi="Lato"/>
          <w:color w:val="333333"/>
          <w:sz w:val="22"/>
          <w:szCs w:val="22"/>
        </w:rPr>
        <w:t xml:space="preserve">GPW’s approach to testing reflects a core belief: catching a defect at station 3 costs a fraction of catching it at end-of-line — and orders of magnitude less than catching it at the customer’s dock. Integrated testing is not just a quality measure. It is a cost control measure.</w:t>
      </w:r>
    </w:p>
    <w:p>
      <w:pPr>
        <w:spacing w:after="160"/>
      </w:pPr>
      <w:r>
        <w:rPr>
          <w:rFonts w:ascii="Lato" w:cs="Lato" w:eastAsia="Lato" w:hAnsi="Lato"/>
          <w:b/>
          <w:bCs/>
          <w:color w:val="23555A"/>
          <w:sz w:val="22"/>
          <w:szCs w:val="22"/>
        </w:rPr>
        <w:t xml:space="preserve">Outcome: </w:t>
      </w:r>
      <w:r>
        <w:rPr>
          <w:rFonts w:ascii="Lato" w:cs="Lato" w:eastAsia="Lato" w:hAnsi="Lato"/>
          <w:color w:val="333333"/>
          <w:sz w:val="22"/>
          <w:szCs w:val="22"/>
        </w:rPr>
        <w:t xml:space="preserve">Every shipped unit has a documented test record proving it meets specification.</w:t>
      </w:r>
    </w:p>
    <w:p>
      <w:pPr>
        <w:spacing w:after="120" w:before="240"/>
      </w:pPr>
      <w:r>
        <w:rPr>
          <w:rFonts w:ascii="Trirong" w:cs="Trirong" w:eastAsia="Trirong" w:hAnsi="Trirong"/>
          <w:b/>
          <w:bCs/>
          <w:color w:val="23555A"/>
          <w:sz w:val="24"/>
          <w:szCs w:val="24"/>
        </w:rPr>
        <w:t xml:space="preserve">Step 5: Packaging, Labeling, and Shipment</w:t>
      </w:r>
    </w:p>
    <w:p>
      <w:pPr>
        <w:spacing w:after="160"/>
      </w:pPr>
      <w:r>
        <w:rPr>
          <w:rFonts w:ascii="Lato" w:cs="Lato" w:eastAsia="Lato" w:hAnsi="Lato"/>
          <w:color w:val="333333"/>
          <w:sz w:val="22"/>
          <w:szCs w:val="22"/>
        </w:rPr>
        <w:t xml:space="preserve">The last step in GPW’s box build process covers final cosmetic inspection, customer-specified labeling (barcodes, serial numbers, regulatory marks), and packaging. GPW packages products to customer specifications — including custom foam inserts, anti-static packaging, palletization patterns, and shipping documentation.</w:t>
      </w:r>
    </w:p>
    <w:p>
      <w:pPr>
        <w:spacing w:after="160"/>
      </w:pPr>
      <w:r>
        <w:rPr>
          <w:rFonts w:ascii="Lato" w:cs="Lato" w:eastAsia="Lato" w:hAnsi="Lato"/>
          <w:color w:val="333333"/>
          <w:sz w:val="22"/>
          <w:szCs w:val="22"/>
        </w:rPr>
        <w:t xml:space="preserve">For programs requiring direct-to-customer shipment, GPW coordinates logistics from the Monterrey facility to U.S. destinations. USMCA-compliant documentation ensures duty-free border crossing for qualifying products.</w:t>
      </w:r>
    </w:p>
    <w:p>
      <w:pPr>
        <w:spacing w:after="160"/>
      </w:pPr>
      <w:r>
        <w:rPr>
          <w:rFonts w:ascii="Lato" w:cs="Lato" w:eastAsia="Lato" w:hAnsi="Lato"/>
          <w:color w:val="333333"/>
          <w:sz w:val="22"/>
          <w:szCs w:val="22"/>
        </w:rPr>
        <w:t xml:space="preserve">GPW supports multiple packaging configurations: standard corrugated with foam inserts, ESD-safe packaging for sensitive electronics, multi-unit palletization for volume shipments, and customer-branded retail packaging for consumer-facing products. The packaging specification is documented as part of the process plan and validated during the first article build — just like every other step.</w:t>
      </w:r>
    </w:p>
    <w:p>
      <w:pPr>
        <w:spacing w:after="160"/>
      </w:pPr>
      <w:r>
        <w:rPr>
          <w:rFonts w:ascii="Lato" w:cs="Lato" w:eastAsia="Lato" w:hAnsi="Lato"/>
          <w:b/>
          <w:bCs/>
          <w:color w:val="23555A"/>
          <w:sz w:val="22"/>
          <w:szCs w:val="22"/>
        </w:rPr>
        <w:t xml:space="preserve">Outcome: </w:t>
      </w:r>
      <w:r>
        <w:rPr>
          <w:rFonts w:ascii="Lato" w:cs="Lato" w:eastAsia="Lato" w:hAnsi="Lato"/>
          <w:color w:val="333333"/>
          <w:sz w:val="22"/>
          <w:szCs w:val="22"/>
        </w:rPr>
        <w:t xml:space="preserve">Finished products arrive at your dock ready for distribution — no repackaging, no relabeling, no additional handling.</w:t>
      </w:r>
    </w:p>
    <w:p>
      <w:pPr>
        <w:spacing w:after="80" w:before="200"/>
      </w:pPr>
      <w:r>
        <w:rPr>
          <w:rFonts w:ascii="Lato" w:cs="Lato" w:eastAsia="Lato" w:hAnsi="Lato"/>
          <w:b/>
          <w:bCs/>
          <w:color w:val="2A4E64"/>
          <w:sz w:val="22"/>
          <w:szCs w:val="22"/>
        </w:rPr>
        <w:t xml:space="preserve">Your BOM. Our production floor. One finished product. </w:t>
      </w:r>
      <w:r>
        <w:rPr>
          <w:rFonts w:ascii="Lato" w:cs="Lato" w:eastAsia="Lato" w:hAnsi="Lato"/>
          <w:color w:val="333333"/>
          <w:sz w:val="22"/>
          <w:szCs w:val="22"/>
        </w:rPr>
        <w:t xml:space="preserve">Submit your bill of materials and specifications — GPW’s engineering team will respond with a detailed technical review and quote within 24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835E" w:val="clear"/>
            <w:tcMar>
              <w:top w:type="dxa" w:w="160"/>
              <w:left w:type="dxa" w:w="200"/>
              <w:bottom w:type="dxa" w:w="160"/>
              <w:right w:type="dxa" w:w="200"/>
            </w:tcMar>
          </w:tcPr>
          <w:p>
            <w:pPr>
              <w:jc w:val="center"/>
            </w:pPr>
            <w:r>
              <w:rPr>
                <w:rFonts w:ascii="Lato" w:cs="Lato" w:eastAsia="Lato" w:hAnsi="Lato"/>
                <w:b/>
                <w:bCs/>
                <w:color w:val="FFFFFF"/>
                <w:sz w:val="24"/>
                <w:szCs w:val="24"/>
              </w:rPr>
              <w:t xml:space="preserve">REQUEST A QUOTE →</w:t>
            </w:r>
          </w:p>
        </w:tc>
      </w:tr>
    </w:tbl>
    <w:p>
      <w:pPr>
        <w:pBdr>
          <w:bottom w:val="single" w:color="ADCF91" w:sz="6" w:space="1"/>
        </w:pBdr>
        <w:spacing w:after="200" w:before="200"/>
      </w:pPr>
    </w:p>
    <w:p>
      <w:pPr>
        <w:pStyle w:val="Heading2"/>
        <w:spacing w:after="160" w:before="300"/>
      </w:pPr>
      <w:r>
        <w:rPr>
          <w:rFonts w:ascii="Trirong" w:cs="Trirong" w:eastAsia="Trirong" w:hAnsi="Trirong"/>
          <w:b/>
          <w:bCs/>
          <w:color w:val="2A4E64"/>
          <w:sz w:val="28"/>
          <w:szCs w:val="28"/>
        </w:rPr>
        <w:t xml:space="preserve">Which Industries Rely on Box Build Assembly?</w:t>
      </w:r>
    </w:p>
    <w:p>
      <w:pPr>
        <w:spacing w:after="160"/>
      </w:pPr>
      <w:r>
        <w:rPr>
          <w:rFonts w:ascii="Lato" w:cs="Lato" w:eastAsia="Lato" w:hAnsi="Lato"/>
          <w:color w:val="333333"/>
          <w:sz w:val="22"/>
          <w:szCs w:val="22"/>
        </w:rPr>
        <w:t xml:space="preserve">Box build assembly serves every industry where a finished product requires mechanical, electrical, and cabling integration. GPW builds box-level assemblies across 8 verticals — each with distinct requirements, compliance standards, and quality expectations.</w:t>
      </w:r>
    </w:p>
    <w:p>
      <w:pPr>
        <w:pStyle w:val="ListParagraph"/>
        <w:numPr>
          <w:ilvl w:val="0"/>
          <w:numId w:val="4"/>
        </w:numPr>
        <w:spacing w:after="80"/>
      </w:pPr>
      <w:r>
        <w:rPr>
          <w:rFonts w:ascii="Lato" w:cs="Lato" w:eastAsia="Lato" w:hAnsi="Lato"/>
          <w:b/>
          <w:bCs/>
          <w:color w:val="23555A"/>
          <w:sz w:val="22"/>
          <w:szCs w:val="22"/>
        </w:rPr>
        <w:t xml:space="preserve">AI &amp; Server Rack Assembly — </w:t>
      </w:r>
      <w:r>
        <w:rPr>
          <w:rFonts w:ascii="Lato" w:cs="Lato" w:eastAsia="Lato" w:hAnsi="Lato"/>
          <w:color w:val="333333"/>
          <w:sz w:val="22"/>
          <w:szCs w:val="22"/>
        </w:rPr>
        <w:t xml:space="preserve">Server nodes, GPU trays, and networking appliances. Precision mounting, high-density cable routing, thermal management, and burn-in testing.</w:t>
      </w:r>
    </w:p>
    <w:p>
      <w:pPr>
        <w:pStyle w:val="ListParagraph"/>
        <w:numPr>
          <w:ilvl w:val="0"/>
          <w:numId w:val="4"/>
        </w:numPr>
        <w:spacing w:after="80"/>
      </w:pPr>
      <w:r>
        <w:rPr>
          <w:rFonts w:ascii="Lato" w:cs="Lato" w:eastAsia="Lato" w:hAnsi="Lato"/>
          <w:b/>
          <w:bCs/>
          <w:color w:val="23555A"/>
          <w:sz w:val="22"/>
          <w:szCs w:val="22"/>
        </w:rPr>
        <w:t xml:space="preserve">Industrial Equipment — </w:t>
      </w:r>
      <w:r>
        <w:rPr>
          <w:rFonts w:ascii="Lato" w:cs="Lato" w:eastAsia="Lato" w:hAnsi="Lato"/>
          <w:color w:val="333333"/>
          <w:sz w:val="22"/>
          <w:szCs w:val="22"/>
        </w:rPr>
        <w:t xml:space="preserve">Control panels, automation modules, and industrial sub-assemblies. DIN rail mounting, panel wiring, and ruggedized enclosure builds.</w:t>
      </w:r>
    </w:p>
    <w:p>
      <w:pPr>
        <w:pStyle w:val="ListParagraph"/>
        <w:numPr>
          <w:ilvl w:val="0"/>
          <w:numId w:val="4"/>
        </w:numPr>
        <w:spacing w:after="80"/>
      </w:pPr>
      <w:r>
        <w:rPr>
          <w:rFonts w:ascii="Lato" w:cs="Lato" w:eastAsia="Lato" w:hAnsi="Lato"/>
          <w:b/>
          <w:bCs/>
          <w:color w:val="23555A"/>
          <w:sz w:val="22"/>
          <w:szCs w:val="22"/>
        </w:rPr>
        <w:t xml:space="preserve">Telecommunications — </w:t>
      </w:r>
      <w:r>
        <w:rPr>
          <w:rFonts w:ascii="Lato" w:cs="Lato" w:eastAsia="Lato" w:hAnsi="Lato"/>
          <w:color w:val="333333"/>
          <w:sz w:val="22"/>
          <w:szCs w:val="22"/>
        </w:rPr>
        <w:t xml:space="preserve">Network cabinets, access modules, and communication appliances. High-density connector integration, fiber and copper routing.</w:t>
      </w:r>
    </w:p>
    <w:p>
      <w:pPr>
        <w:pStyle w:val="ListParagraph"/>
        <w:numPr>
          <w:ilvl w:val="0"/>
          <w:numId w:val="4"/>
        </w:numPr>
        <w:spacing w:after="80"/>
      </w:pPr>
      <w:r>
        <w:rPr>
          <w:rFonts w:ascii="Lato" w:cs="Lato" w:eastAsia="Lato" w:hAnsi="Lato"/>
          <w:b/>
          <w:bCs/>
          <w:color w:val="23555A"/>
          <w:sz w:val="22"/>
          <w:szCs w:val="22"/>
        </w:rPr>
        <w:t xml:space="preserve">Medical Devices &amp; Equipment — </w:t>
      </w:r>
      <w:r>
        <w:rPr>
          <w:rFonts w:ascii="Lato" w:cs="Lato" w:eastAsia="Lato" w:hAnsi="Lato"/>
          <w:color w:val="333333"/>
          <w:sz w:val="22"/>
          <w:szCs w:val="22"/>
        </w:rPr>
        <w:t xml:space="preserve">Diagnostic equipment housings, patient monitoring devices. Documented assembly, lot-level traceability, FDA 21 CFR Part 820 compliance.</w:t>
      </w:r>
    </w:p>
    <w:p>
      <w:pPr>
        <w:pStyle w:val="ListParagraph"/>
        <w:numPr>
          <w:ilvl w:val="0"/>
          <w:numId w:val="4"/>
        </w:numPr>
        <w:spacing w:after="80"/>
      </w:pPr>
      <w:r>
        <w:rPr>
          <w:rFonts w:ascii="Lato" w:cs="Lato" w:eastAsia="Lato" w:hAnsi="Lato"/>
          <w:b/>
          <w:bCs/>
          <w:color w:val="23555A"/>
          <w:sz w:val="22"/>
          <w:szCs w:val="22"/>
        </w:rPr>
        <w:t xml:space="preserve">Automotive — </w:t>
      </w:r>
      <w:r>
        <w:rPr>
          <w:rFonts w:ascii="Lato" w:cs="Lato" w:eastAsia="Lato" w:hAnsi="Lato"/>
          <w:color w:val="333333"/>
          <w:sz w:val="22"/>
          <w:szCs w:val="22"/>
        </w:rPr>
        <w:t xml:space="preserve">Fixture assemblies, testing equipment housings, and integration modules. PPAP documentation and production repeatability.</w:t>
      </w:r>
    </w:p>
    <w:p>
      <w:pPr>
        <w:pStyle w:val="ListParagraph"/>
        <w:numPr>
          <w:ilvl w:val="0"/>
          <w:numId w:val="4"/>
        </w:numPr>
        <w:spacing w:after="80"/>
      </w:pPr>
      <w:r>
        <w:rPr>
          <w:rFonts w:ascii="Lato" w:cs="Lato" w:eastAsia="Lato" w:hAnsi="Lato"/>
          <w:b/>
          <w:bCs/>
          <w:color w:val="23555A"/>
          <w:sz w:val="22"/>
          <w:szCs w:val="22"/>
        </w:rPr>
        <w:t xml:space="preserve">Energy — </w:t>
      </w:r>
      <w:r>
        <w:rPr>
          <w:rFonts w:ascii="Lato" w:cs="Lato" w:eastAsia="Lato" w:hAnsi="Lato"/>
          <w:color w:val="333333"/>
          <w:sz w:val="22"/>
          <w:szCs w:val="22"/>
        </w:rPr>
        <w:t xml:space="preserve">Equipment cabinets, inverter housings, and power distribution units. High-power wiring, thermal management, and safety compliance.</w:t>
      </w:r>
    </w:p>
    <w:p>
      <w:pPr>
        <w:pStyle w:val="ListParagraph"/>
        <w:numPr>
          <w:ilvl w:val="0"/>
          <w:numId w:val="4"/>
        </w:numPr>
        <w:spacing w:after="80"/>
      </w:pPr>
      <w:r>
        <w:rPr>
          <w:rFonts w:ascii="Lato" w:cs="Lato" w:eastAsia="Lato" w:hAnsi="Lato"/>
          <w:b/>
          <w:bCs/>
          <w:color w:val="23555A"/>
          <w:sz w:val="22"/>
          <w:szCs w:val="22"/>
        </w:rPr>
        <w:t xml:space="preserve">Aerospace — </w:t>
      </w:r>
      <w:r>
        <w:rPr>
          <w:rFonts w:ascii="Lato" w:cs="Lato" w:eastAsia="Lato" w:hAnsi="Lato"/>
          <w:color w:val="333333"/>
          <w:sz w:val="22"/>
          <w:szCs w:val="22"/>
        </w:rPr>
        <w:t xml:space="preserve">Sub-assembly enclosures and ground support equipment. Serialized tracking, FOD control, AS9100-aligned processes.</w:t>
      </w:r>
    </w:p>
    <w:p>
      <w:pPr>
        <w:pStyle w:val="ListParagraph"/>
        <w:numPr>
          <w:ilvl w:val="0"/>
          <w:numId w:val="4"/>
        </w:numPr>
        <w:spacing w:after="80"/>
      </w:pPr>
      <w:r>
        <w:rPr>
          <w:rFonts w:ascii="Lato" w:cs="Lato" w:eastAsia="Lato" w:hAnsi="Lato"/>
          <w:b/>
          <w:bCs/>
          <w:color w:val="23555A"/>
          <w:sz w:val="22"/>
          <w:szCs w:val="22"/>
        </w:rPr>
        <w:t xml:space="preserve">Appliances &amp; White Goods — </w:t>
      </w:r>
      <w:r>
        <w:rPr>
          <w:rFonts w:ascii="Lato" w:cs="Lato" w:eastAsia="Lato" w:hAnsi="Lato"/>
          <w:color w:val="333333"/>
          <w:sz w:val="22"/>
          <w:szCs w:val="22"/>
        </w:rPr>
        <w:t xml:space="preserve">Consumer and commercial appliance sub-assemblies. Volume scalability, cosmetic quality, packaging integration.</w:t>
      </w:r>
    </w:p>
    <w:p>
      <w:pPr>
        <w:spacing w:after="160"/>
      </w:pPr>
      <w:r>
        <w:rPr>
          <w:rFonts w:ascii="Lato" w:cs="Lato" w:eastAsia="Lato" w:hAnsi="Lato"/>
          <w:color w:val="333333"/>
          <w:sz w:val="22"/>
          <w:szCs w:val="22"/>
        </w:rPr>
        <w:t xml:space="preserve">This multi-vertical capability is intentional. Techniques GPW refines in aerospace traceability improve the documentation quality of medical device builds. Cable management practices developed for telecom cabinet assembly transfer directly to AI server rack integration. Every industry makes GPW better at box build for every other industry.</w:t>
      </w:r>
    </w:p>
    <w:p>
      <w:pPr>
        <w:pBdr>
          <w:bottom w:val="single" w:color="ADCF91" w:sz="6" w:space="1"/>
        </w:pBdr>
        <w:spacing w:after="200" w:before="200"/>
      </w:pPr>
    </w:p>
    <w:p>
      <w:pPr>
        <w:pStyle w:val="Heading2"/>
        <w:spacing w:after="160" w:before="300"/>
      </w:pPr>
      <w:r>
        <w:rPr>
          <w:rFonts w:ascii="Trirong" w:cs="Trirong" w:eastAsia="Trirong" w:hAnsi="Trirong"/>
          <w:b/>
          <w:bCs/>
          <w:color w:val="2A4E64"/>
          <w:sz w:val="28"/>
          <w:szCs w:val="28"/>
        </w:rPr>
        <w:t xml:space="preserve">What Does GPW’s Box Build Capability Include?</w:t>
      </w:r>
    </w:p>
    <w:p>
      <w:pPr>
        <w:spacing w:after="160"/>
      </w:pPr>
      <w:r>
        <w:rPr>
          <w:rFonts w:ascii="Lato" w:cs="Lato" w:eastAsia="Lato" w:hAnsi="Lato"/>
          <w:b/>
          <w:bCs/>
          <w:color w:val="2A4E64"/>
          <w:sz w:val="22"/>
          <w:szCs w:val="22"/>
        </w:rPr>
        <w:t xml:space="preserve">Project scope:</w:t>
      </w:r>
    </w:p>
    <w:p>
      <w:pPr>
        <w:pStyle w:val="ListParagraph"/>
        <w:numPr>
          <w:ilvl w:val="0"/>
          <w:numId w:val="2"/>
        </w:numPr>
        <w:spacing w:after="80"/>
      </w:pPr>
      <w:r>
        <w:rPr>
          <w:rFonts w:ascii="Lato" w:cs="Lato" w:eastAsia="Lato" w:hAnsi="Lato"/>
          <w:color w:val="333333"/>
          <w:sz w:val="22"/>
          <w:szCs w:val="22"/>
        </w:rPr>
        <w:t xml:space="preserve">Product complexity: From single-board enclosures to multi-PCBA systems with 500+ components</w:t>
      </w:r>
    </w:p>
    <w:p>
      <w:pPr>
        <w:pStyle w:val="ListParagraph"/>
        <w:numPr>
          <w:ilvl w:val="0"/>
          <w:numId w:val="2"/>
        </w:numPr>
        <w:spacing w:after="80"/>
      </w:pPr>
      <w:r>
        <w:rPr>
          <w:rFonts w:ascii="Lato" w:cs="Lato" w:eastAsia="Lato" w:hAnsi="Lato"/>
          <w:color w:val="333333"/>
          <w:sz w:val="22"/>
          <w:szCs w:val="22"/>
        </w:rPr>
        <w:t xml:space="preserve">Unit volumes: Pilot builds of 10 units through sustained production of 10,000+ units per month</w:t>
      </w:r>
    </w:p>
    <w:p>
      <w:pPr>
        <w:pStyle w:val="ListParagraph"/>
        <w:numPr>
          <w:ilvl w:val="0"/>
          <w:numId w:val="2"/>
        </w:numPr>
        <w:spacing w:after="80"/>
      </w:pPr>
      <w:r>
        <w:rPr>
          <w:rFonts w:ascii="Lato" w:cs="Lato" w:eastAsia="Lato" w:hAnsi="Lato"/>
          <w:color w:val="333333"/>
          <w:sz w:val="22"/>
          <w:szCs w:val="22"/>
        </w:rPr>
        <w:t xml:space="preserve">NPI timeline: First article builds in 2-3 weeks from process plan approval. Production ramp in 4-6 weeks.</w:t>
      </w:r>
    </w:p>
    <w:p>
      <w:pPr>
        <w:spacing w:after="160"/>
      </w:pPr>
      <w:r>
        <w:rPr>
          <w:rFonts w:ascii="Lato" w:cs="Lato" w:eastAsia="Lato" w:hAnsi="Lato"/>
          <w:b/>
          <w:bCs/>
          <w:color w:val="2A4E64"/>
          <w:sz w:val="22"/>
          <w:szCs w:val="22"/>
        </w:rPr>
        <w:t xml:space="preserve">Assembly capabilities:</w:t>
      </w:r>
    </w:p>
    <w:p>
      <w:pPr>
        <w:pStyle w:val="ListParagraph"/>
        <w:numPr>
          <w:ilvl w:val="0"/>
          <w:numId w:val="2"/>
        </w:numPr>
        <w:spacing w:after="80"/>
      </w:pPr>
      <w:r>
        <w:rPr>
          <w:rFonts w:ascii="Lato" w:cs="Lato" w:eastAsia="Lato" w:hAnsi="Lato"/>
          <w:color w:val="333333"/>
          <w:sz w:val="22"/>
          <w:szCs w:val="22"/>
        </w:rPr>
        <w:t xml:space="preserve">Mechanical: Chassis mounting, bracket installation, thermal hardware, structural fastening</w:t>
      </w:r>
    </w:p>
    <w:p>
      <w:pPr>
        <w:pStyle w:val="ListParagraph"/>
        <w:numPr>
          <w:ilvl w:val="0"/>
          <w:numId w:val="2"/>
        </w:numPr>
        <w:spacing w:after="80"/>
      </w:pPr>
      <w:r>
        <w:rPr>
          <w:rFonts w:ascii="Lato" w:cs="Lato" w:eastAsia="Lato" w:hAnsi="Lato"/>
          <w:color w:val="333333"/>
          <w:sz w:val="22"/>
          <w:szCs w:val="22"/>
        </w:rPr>
        <w:t xml:space="preserve">Electrical: PCBA mounting, connector integration, power supply installation, grounding</w:t>
      </w:r>
    </w:p>
    <w:p>
      <w:pPr>
        <w:pStyle w:val="ListParagraph"/>
        <w:numPr>
          <w:ilvl w:val="0"/>
          <w:numId w:val="2"/>
        </w:numPr>
        <w:spacing w:after="80"/>
      </w:pPr>
      <w:r>
        <w:rPr>
          <w:rFonts w:ascii="Lato" w:cs="Lato" w:eastAsia="Lato" w:hAnsi="Lato"/>
          <w:color w:val="333333"/>
          <w:sz w:val="22"/>
          <w:szCs w:val="22"/>
        </w:rPr>
        <w:t xml:space="preserve">Cabling: Internal cable routing, harness installation, cable management (ties, clips, channels)</w:t>
      </w:r>
    </w:p>
    <w:p>
      <w:pPr>
        <w:pStyle w:val="ListParagraph"/>
        <w:numPr>
          <w:ilvl w:val="0"/>
          <w:numId w:val="2"/>
        </w:numPr>
        <w:spacing w:after="80"/>
      </w:pPr>
      <w:r>
        <w:rPr>
          <w:rFonts w:ascii="Lato" w:cs="Lato" w:eastAsia="Lato" w:hAnsi="Lato"/>
          <w:color w:val="333333"/>
          <w:sz w:val="22"/>
          <w:szCs w:val="22"/>
        </w:rPr>
        <w:t xml:space="preserve">Firmware: Loading, configuration, initialization, verification</w:t>
      </w:r>
    </w:p>
    <w:p>
      <w:pPr>
        <w:pStyle w:val="ListParagraph"/>
        <w:numPr>
          <w:ilvl w:val="0"/>
          <w:numId w:val="2"/>
        </w:numPr>
        <w:spacing w:after="80"/>
      </w:pPr>
      <w:r>
        <w:rPr>
          <w:rFonts w:ascii="Lato" w:cs="Lato" w:eastAsia="Lato" w:hAnsi="Lato"/>
          <w:color w:val="333333"/>
          <w:sz w:val="22"/>
          <w:szCs w:val="22"/>
        </w:rPr>
        <w:t xml:space="preserve">Testing: Functional test, burn-in, Hi-Pot, continuity, visual inspection</w:t>
      </w:r>
    </w:p>
    <w:p>
      <w:pPr>
        <w:spacing w:after="160"/>
      </w:pPr>
      <w:r>
        <w:rPr>
          <w:rFonts w:ascii="Lato" w:cs="Lato" w:eastAsia="Lato" w:hAnsi="Lato"/>
          <w:b/>
          <w:bCs/>
          <w:color w:val="2A4E64"/>
          <w:sz w:val="22"/>
          <w:szCs w:val="22"/>
        </w:rPr>
        <w:t xml:space="preserve">Nearshore advantage:</w:t>
      </w:r>
    </w:p>
    <w:p>
      <w:pPr>
        <w:spacing w:after="160"/>
      </w:pPr>
      <w:r>
        <w:rPr>
          <w:rFonts w:ascii="Lato" w:cs="Lato" w:eastAsia="Lato" w:hAnsi="Lato"/>
          <w:color w:val="333333"/>
          <w:sz w:val="22"/>
          <w:szCs w:val="22"/>
        </w:rPr>
        <w:t xml:space="preserve">GPW operates from Monterrey, Nuevo León, Mexico — 150 miles from the U.S. border, same timezone as Central U.S. Direct flights from Austin, Dallas, Houston, Phoenix, and San Jose. Your engineering team can visit the production floor, review first articles, and return the same day. 40-60% cost savings compared to equivalent domestic U.S. assembly operations, with USMCA-compliant production enabling duty-free cross-border shipping.</w:t>
      </w:r>
    </w:p>
    <w:p>
      <w:pPr>
        <w:spacing w:after="160"/>
      </w:pPr>
      <w:r>
        <w:rPr>
          <w:rFonts w:ascii="Lato" w:cs="Lato" w:eastAsia="Lato" w:hAnsi="Lato"/>
          <w:b/>
          <w:bCs/>
          <w:color w:val="2A4E64"/>
          <w:sz w:val="22"/>
          <w:szCs w:val="22"/>
        </w:rPr>
        <w:t xml:space="preserve">Certifications and standards:</w:t>
      </w:r>
    </w:p>
    <w:p>
      <w:pPr>
        <w:spacing w:after="160"/>
      </w:pPr>
      <w:r>
        <w:rPr>
          <w:rFonts w:ascii="Lato" w:cs="Lato" w:eastAsia="Lato" w:hAnsi="Lato"/>
          <w:color w:val="333333"/>
          <w:sz w:val="22"/>
          <w:szCs w:val="22"/>
        </w:rPr>
        <w:t xml:space="preserve">GPW is pursuing IPC-A-610 (electronic assembly), IPC-A-620 (cable and wire harness), and ISO 9001 certifications. All assembly processes already follow the workmanship criteria defined by these standards. Industry-specific certifications — including AS9100 for aerospace and IATF 16949 for automotive — are pursued as customer programs require.</w:t>
      </w:r>
    </w:p>
    <w:p>
      <w:pPr>
        <w:spacing w:after="160"/>
      </w:pPr>
      <w:r>
        <w:rPr>
          <w:rFonts w:ascii="Lato" w:cs="Lato" w:eastAsia="Lato" w:hAnsi="Lato"/>
          <w:b/>
          <w:bCs/>
          <w:color w:val="2A4E64"/>
          <w:sz w:val="22"/>
          <w:szCs w:val="22"/>
        </w:rPr>
        <w:t xml:space="preserve">GPW vs. typical EMS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Borders>
              <w:top w:val="single" w:color="E0E0E0" w:sz="1"/>
              <w:left w:val="single" w:color="E0E0E0" w:sz="1"/>
              <w:bottom w:val="single" w:color="E0E0E0" w:sz="1"/>
              <w:right w:val="single" w:color="E0E0E0" w:sz="1"/>
            </w:tcBorders>
            <w:shd w:fill="23555A" w:val="clear"/>
            <w:tcMar>
              <w:top w:type="dxa" w:w="60"/>
              <w:left w:type="dxa" w:w="100"/>
              <w:bottom w:type="dxa" w:w="60"/>
              <w:right w:type="dxa" w:w="100"/>
            </w:tcMar>
          </w:tcPr>
          <w:p>
            <w:pPr>
              <w:jc w:val="center"/>
            </w:pPr>
            <w:r>
              <w:rPr>
                <w:rFonts w:ascii="Lato" w:cs="Lato" w:eastAsia="Lato" w:hAnsi="Lato"/>
                <w:b/>
                <w:bCs/>
                <w:color w:val="FFFFFF"/>
                <w:sz w:val="18"/>
                <w:szCs w:val="18"/>
              </w:rPr>
              <w:t xml:space="preserve">Aspect</w:t>
            </w:r>
          </w:p>
        </w:tc>
        <w:tc>
          <w:tcPr>
            <w:tcBorders>
              <w:top w:val="single" w:color="E0E0E0" w:sz="1"/>
              <w:left w:val="single" w:color="E0E0E0" w:sz="1"/>
              <w:bottom w:val="single" w:color="E0E0E0" w:sz="1"/>
              <w:right w:val="single" w:color="E0E0E0" w:sz="1"/>
            </w:tcBorders>
            <w:shd w:fill="23555A" w:val="clear"/>
            <w:tcMar>
              <w:top w:type="dxa" w:w="60"/>
              <w:left w:type="dxa" w:w="100"/>
              <w:bottom w:type="dxa" w:w="60"/>
              <w:right w:type="dxa" w:w="100"/>
            </w:tcMar>
          </w:tcPr>
          <w:p>
            <w:pPr>
              <w:jc w:val="center"/>
            </w:pPr>
            <w:r>
              <w:rPr>
                <w:rFonts w:ascii="Lato" w:cs="Lato" w:eastAsia="Lato" w:hAnsi="Lato"/>
                <w:b/>
                <w:bCs/>
                <w:color w:val="FFFFFF"/>
                <w:sz w:val="18"/>
                <w:szCs w:val="18"/>
              </w:rPr>
              <w:t xml:space="preserve">Typical EMS Provider</w:t>
            </w:r>
          </w:p>
        </w:tc>
        <w:tc>
          <w:tcPr>
            <w:tcBorders>
              <w:top w:val="single" w:color="E0E0E0" w:sz="1"/>
              <w:left w:val="single" w:color="E0E0E0" w:sz="1"/>
              <w:bottom w:val="single" w:color="E0E0E0" w:sz="1"/>
              <w:right w:val="single" w:color="E0E0E0" w:sz="1"/>
            </w:tcBorders>
            <w:shd w:fill="23555A" w:val="clear"/>
            <w:tcMar>
              <w:top w:type="dxa" w:w="60"/>
              <w:left w:type="dxa" w:w="100"/>
              <w:bottom w:type="dxa" w:w="60"/>
              <w:right w:type="dxa" w:w="100"/>
            </w:tcMar>
          </w:tcPr>
          <w:p>
            <w:pPr>
              <w:jc w:val="center"/>
            </w:pPr>
            <w:r>
              <w:rPr>
                <w:rFonts w:ascii="Lato" w:cs="Lato" w:eastAsia="Lato" w:hAnsi="Lato"/>
                <w:b/>
                <w:bCs/>
                <w:color w:val="FFFFFF"/>
                <w:sz w:val="18"/>
                <w:szCs w:val="18"/>
              </w:rPr>
              <w:t xml:space="preserve">GPW</w:t>
            </w:r>
          </w:p>
        </w:tc>
      </w:tr>
      <w:tr>
        <w:tc>
          <w:tcPr>
            <w:tcBorders>
              <w:top w:val="single" w:color="E0E0E0" w:sz="1"/>
              <w:left w:val="single" w:color="E0E0E0" w:sz="1"/>
              <w:bottom w:val="single" w:color="E0E0E0" w:sz="1"/>
              <w:right w:val="single" w:color="E0E0E0" w:sz="1"/>
            </w:tcBorders>
            <w:shd w:fill="F5F5F5" w:val="clear"/>
            <w:tcMar>
              <w:top w:type="dxa" w:w="40"/>
              <w:left w:type="dxa" w:w="100"/>
              <w:bottom w:type="dxa" w:w="40"/>
              <w:right w:type="dxa" w:w="100"/>
            </w:tcMar>
          </w:tcPr>
          <w:p>
            <w:pPr>
              <w:jc w:val="left"/>
            </w:pPr>
            <w:r>
              <w:rPr>
                <w:rFonts w:ascii="Lato" w:cs="Lato" w:eastAsia="Lato" w:hAnsi="Lato"/>
                <w:b/>
                <w:bCs/>
                <w:color w:val="333333"/>
                <w:sz w:val="18"/>
                <w:szCs w:val="18"/>
              </w:rPr>
              <w:t xml:space="preserve">Core focus</w:t>
            </w:r>
          </w:p>
        </w:tc>
        <w:tc>
          <w:tcPr>
            <w:tcBorders>
              <w:top w:val="single" w:color="E0E0E0" w:sz="1"/>
              <w:left w:val="single" w:color="E0E0E0" w:sz="1"/>
              <w:bottom w:val="single" w:color="E0E0E0" w:sz="1"/>
              <w:right w:val="single" w:color="E0E0E0" w:sz="1"/>
            </w:tcBorders>
            <w:shd w:fill="F5F5F5" w:val="clear"/>
            <w:tcMar>
              <w:top w:type="dxa" w:w="40"/>
              <w:left w:type="dxa" w:w="100"/>
              <w:bottom w:type="dxa" w:w="40"/>
              <w:right w:type="dxa" w:w="100"/>
            </w:tcMar>
          </w:tcPr>
          <w:p>
            <w:pPr>
              <w:jc w:val="left"/>
            </w:pPr>
            <w:r>
              <w:rPr>
                <w:rFonts w:ascii="Lato" w:cs="Lato" w:eastAsia="Lato" w:hAnsi="Lato"/>
                <w:b w:val="false"/>
                <w:bCs w:val="false"/>
                <w:color w:val="333333"/>
                <w:sz w:val="18"/>
                <w:szCs w:val="18"/>
              </w:rPr>
              <w:t xml:space="preserve">PCBA fabrication + assembly add-on</w:t>
            </w:r>
          </w:p>
        </w:tc>
        <w:tc>
          <w:tcPr>
            <w:tcBorders>
              <w:top w:val="single" w:color="E0E0E0" w:sz="1"/>
              <w:left w:val="single" w:color="E0E0E0" w:sz="1"/>
              <w:bottom w:val="single" w:color="E0E0E0" w:sz="1"/>
              <w:right w:val="single" w:color="E0E0E0" w:sz="1"/>
            </w:tcBorders>
            <w:shd w:fill="F5F5F5" w:val="clear"/>
            <w:tcMar>
              <w:top w:type="dxa" w:w="40"/>
              <w:left w:type="dxa" w:w="100"/>
              <w:bottom w:type="dxa" w:w="40"/>
              <w:right w:type="dxa" w:w="100"/>
            </w:tcMar>
          </w:tcPr>
          <w:p>
            <w:pPr>
              <w:jc w:val="left"/>
            </w:pPr>
            <w:r>
              <w:rPr>
                <w:rFonts w:ascii="Lato" w:cs="Lato" w:eastAsia="Lato" w:hAnsi="Lato"/>
                <w:b w:val="false"/>
                <w:bCs w:val="false"/>
                <w:color w:val="333333"/>
                <w:sz w:val="18"/>
                <w:szCs w:val="18"/>
              </w:rPr>
              <w:t xml:space="preserve">Assembly-first — box build is the core service</w:t>
            </w:r>
          </w:p>
        </w:tc>
      </w:tr>
      <w:tr>
        <w:tc>
          <w:tcPr>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pPr>
              <w:jc w:val="left"/>
            </w:pPr>
            <w:r>
              <w:rPr>
                <w:rFonts w:ascii="Lato" w:cs="Lato" w:eastAsia="Lato" w:hAnsi="Lato"/>
                <w:b/>
                <w:bCs/>
                <w:color w:val="333333"/>
                <w:sz w:val="18"/>
                <w:szCs w:val="18"/>
              </w:rPr>
              <w:t xml:space="preserve">Quoting process</w:t>
            </w:r>
          </w:p>
        </w:tc>
        <w:tc>
          <w:tcPr>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pPr>
              <w:jc w:val="left"/>
            </w:pPr>
            <w:r>
              <w:rPr>
                <w:rFonts w:ascii="Lato" w:cs="Lato" w:eastAsia="Lato" w:hAnsi="Lato"/>
                <w:b w:val="false"/>
                <w:bCs w:val="false"/>
                <w:color w:val="333333"/>
                <w:sz w:val="18"/>
                <w:szCs w:val="18"/>
              </w:rPr>
              <w:t xml:space="preserve">Sales-driven rough estimates</w:t>
            </w:r>
          </w:p>
        </w:tc>
        <w:tc>
          <w:tcPr>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pPr>
              <w:jc w:val="left"/>
            </w:pPr>
            <w:r>
              <w:rPr>
                <w:rFonts w:ascii="Lato" w:cs="Lato" w:eastAsia="Lato" w:hAnsi="Lato"/>
                <w:b w:val="false"/>
                <w:bCs w:val="false"/>
                <w:color w:val="333333"/>
                <w:sz w:val="18"/>
                <w:szCs w:val="18"/>
              </w:rPr>
              <w:t xml:space="preserve">Engineering-driven DFM review before quoting</w:t>
            </w:r>
          </w:p>
        </w:tc>
      </w:tr>
      <w:tr>
        <w:tc>
          <w:tcPr>
            <w:tcBorders>
              <w:top w:val="single" w:color="E0E0E0" w:sz="1"/>
              <w:left w:val="single" w:color="E0E0E0" w:sz="1"/>
              <w:bottom w:val="single" w:color="E0E0E0" w:sz="1"/>
              <w:right w:val="single" w:color="E0E0E0" w:sz="1"/>
            </w:tcBorders>
            <w:shd w:fill="F5F5F5" w:val="clear"/>
            <w:tcMar>
              <w:top w:type="dxa" w:w="40"/>
              <w:left w:type="dxa" w:w="100"/>
              <w:bottom w:type="dxa" w:w="40"/>
              <w:right w:type="dxa" w:w="100"/>
            </w:tcMar>
          </w:tcPr>
          <w:p>
            <w:pPr>
              <w:jc w:val="left"/>
            </w:pPr>
            <w:r>
              <w:rPr>
                <w:rFonts w:ascii="Lato" w:cs="Lato" w:eastAsia="Lato" w:hAnsi="Lato"/>
                <w:b/>
                <w:bCs/>
                <w:color w:val="333333"/>
                <w:sz w:val="18"/>
                <w:szCs w:val="18"/>
              </w:rPr>
              <w:t xml:space="preserve">Program management</w:t>
            </w:r>
          </w:p>
        </w:tc>
        <w:tc>
          <w:tcPr>
            <w:tcBorders>
              <w:top w:val="single" w:color="E0E0E0" w:sz="1"/>
              <w:left w:val="single" w:color="E0E0E0" w:sz="1"/>
              <w:bottom w:val="single" w:color="E0E0E0" w:sz="1"/>
              <w:right w:val="single" w:color="E0E0E0" w:sz="1"/>
            </w:tcBorders>
            <w:shd w:fill="F5F5F5" w:val="clear"/>
            <w:tcMar>
              <w:top w:type="dxa" w:w="40"/>
              <w:left w:type="dxa" w:w="100"/>
              <w:bottom w:type="dxa" w:w="40"/>
              <w:right w:type="dxa" w:w="100"/>
            </w:tcMar>
          </w:tcPr>
          <w:p>
            <w:pPr>
              <w:jc w:val="left"/>
            </w:pPr>
            <w:r>
              <w:rPr>
                <w:rFonts w:ascii="Lato" w:cs="Lato" w:eastAsia="Lato" w:hAnsi="Lato"/>
                <w:b w:val="false"/>
                <w:bCs w:val="false"/>
                <w:color w:val="333333"/>
                <w:sz w:val="18"/>
                <w:szCs w:val="18"/>
              </w:rPr>
              <w:t xml:space="preserve">Shared across multiple programs</w:t>
            </w:r>
          </w:p>
        </w:tc>
        <w:tc>
          <w:tcPr>
            <w:tcBorders>
              <w:top w:val="single" w:color="E0E0E0" w:sz="1"/>
              <w:left w:val="single" w:color="E0E0E0" w:sz="1"/>
              <w:bottom w:val="single" w:color="E0E0E0" w:sz="1"/>
              <w:right w:val="single" w:color="E0E0E0" w:sz="1"/>
            </w:tcBorders>
            <w:shd w:fill="F5F5F5" w:val="clear"/>
            <w:tcMar>
              <w:top w:type="dxa" w:w="40"/>
              <w:left w:type="dxa" w:w="100"/>
              <w:bottom w:type="dxa" w:w="40"/>
              <w:right w:type="dxa" w:w="100"/>
            </w:tcMar>
          </w:tcPr>
          <w:p>
            <w:pPr>
              <w:jc w:val="left"/>
            </w:pPr>
            <w:r>
              <w:rPr>
                <w:rFonts w:ascii="Lato" w:cs="Lato" w:eastAsia="Lato" w:hAnsi="Lato"/>
                <w:b w:val="false"/>
                <w:bCs w:val="false"/>
                <w:color w:val="333333"/>
                <w:sz w:val="18"/>
                <w:szCs w:val="18"/>
              </w:rPr>
              <w:t xml:space="preserve">Dedicated program manager per customer</w:t>
            </w:r>
          </w:p>
        </w:tc>
      </w:tr>
      <w:tr>
        <w:tc>
          <w:tcPr>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pPr>
              <w:jc w:val="left"/>
            </w:pPr>
            <w:r>
              <w:rPr>
                <w:rFonts w:ascii="Lato" w:cs="Lato" w:eastAsia="Lato" w:hAnsi="Lato"/>
                <w:b/>
                <w:bCs/>
                <w:color w:val="333333"/>
                <w:sz w:val="18"/>
                <w:szCs w:val="18"/>
              </w:rPr>
              <w:t xml:space="preserve">Testing integration</w:t>
            </w:r>
          </w:p>
        </w:tc>
        <w:tc>
          <w:tcPr>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pPr>
              <w:jc w:val="left"/>
            </w:pPr>
            <w:r>
              <w:rPr>
                <w:rFonts w:ascii="Lato" w:cs="Lato" w:eastAsia="Lato" w:hAnsi="Lato"/>
                <w:b w:val="false"/>
                <w:bCs w:val="false"/>
                <w:color w:val="333333"/>
                <w:sz w:val="18"/>
                <w:szCs w:val="18"/>
              </w:rPr>
              <w:t xml:space="preserve">Separate test department</w:t>
            </w:r>
          </w:p>
        </w:tc>
        <w:tc>
          <w:tcPr>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pPr>
              <w:jc w:val="left"/>
            </w:pPr>
            <w:r>
              <w:rPr>
                <w:rFonts w:ascii="Lato" w:cs="Lato" w:eastAsia="Lato" w:hAnsi="Lato"/>
                <w:b w:val="false"/>
                <w:bCs w:val="false"/>
                <w:color w:val="333333"/>
                <w:sz w:val="18"/>
                <w:szCs w:val="18"/>
              </w:rPr>
              <w:t xml:space="preserve">Testing integrated into the production line</w:t>
            </w:r>
          </w:p>
        </w:tc>
      </w:tr>
      <w:tr>
        <w:tc>
          <w:tcPr>
            <w:tcBorders>
              <w:top w:val="single" w:color="E0E0E0" w:sz="1"/>
              <w:left w:val="single" w:color="E0E0E0" w:sz="1"/>
              <w:bottom w:val="single" w:color="E0E0E0" w:sz="1"/>
              <w:right w:val="single" w:color="E0E0E0" w:sz="1"/>
            </w:tcBorders>
            <w:shd w:fill="F5F5F5" w:val="clear"/>
            <w:tcMar>
              <w:top w:type="dxa" w:w="40"/>
              <w:left w:type="dxa" w:w="100"/>
              <w:bottom w:type="dxa" w:w="40"/>
              <w:right w:type="dxa" w:w="100"/>
            </w:tcMar>
          </w:tcPr>
          <w:p>
            <w:pPr>
              <w:jc w:val="left"/>
            </w:pPr>
            <w:r>
              <w:rPr>
                <w:rFonts w:ascii="Lato" w:cs="Lato" w:eastAsia="Lato" w:hAnsi="Lato"/>
                <w:b/>
                <w:bCs/>
                <w:color w:val="333333"/>
                <w:sz w:val="18"/>
                <w:szCs w:val="18"/>
              </w:rPr>
              <w:t xml:space="preserve">Cable routing</w:t>
            </w:r>
          </w:p>
        </w:tc>
        <w:tc>
          <w:tcPr>
            <w:tcBorders>
              <w:top w:val="single" w:color="E0E0E0" w:sz="1"/>
              <w:left w:val="single" w:color="E0E0E0" w:sz="1"/>
              <w:bottom w:val="single" w:color="E0E0E0" w:sz="1"/>
              <w:right w:val="single" w:color="E0E0E0" w:sz="1"/>
            </w:tcBorders>
            <w:shd w:fill="F5F5F5" w:val="clear"/>
            <w:tcMar>
              <w:top w:type="dxa" w:w="40"/>
              <w:left w:type="dxa" w:w="100"/>
              <w:bottom w:type="dxa" w:w="40"/>
              <w:right w:type="dxa" w:w="100"/>
            </w:tcMar>
          </w:tcPr>
          <w:p>
            <w:pPr>
              <w:jc w:val="left"/>
            </w:pPr>
            <w:r>
              <w:rPr>
                <w:rFonts w:ascii="Lato" w:cs="Lato" w:eastAsia="Lato" w:hAnsi="Lato"/>
                <w:b w:val="false"/>
                <w:bCs w:val="false"/>
                <w:color w:val="333333"/>
                <w:sz w:val="18"/>
                <w:szCs w:val="18"/>
              </w:rPr>
              <w:t xml:space="preserve">Subcontracted or secondary skill</w:t>
            </w:r>
          </w:p>
        </w:tc>
        <w:tc>
          <w:tcPr>
            <w:tcBorders>
              <w:top w:val="single" w:color="E0E0E0" w:sz="1"/>
              <w:left w:val="single" w:color="E0E0E0" w:sz="1"/>
              <w:bottom w:val="single" w:color="E0E0E0" w:sz="1"/>
              <w:right w:val="single" w:color="E0E0E0" w:sz="1"/>
            </w:tcBorders>
            <w:shd w:fill="F5F5F5" w:val="clear"/>
            <w:tcMar>
              <w:top w:type="dxa" w:w="40"/>
              <w:left w:type="dxa" w:w="100"/>
              <w:bottom w:type="dxa" w:w="40"/>
              <w:right w:type="dxa" w:w="100"/>
            </w:tcMar>
          </w:tcPr>
          <w:p>
            <w:pPr>
              <w:jc w:val="left"/>
            </w:pPr>
            <w:r>
              <w:rPr>
                <w:rFonts w:ascii="Lato" w:cs="Lato" w:eastAsia="Lato" w:hAnsi="Lato"/>
                <w:b w:val="false"/>
                <w:bCs w:val="false"/>
                <w:color w:val="333333"/>
                <w:sz w:val="18"/>
                <w:szCs w:val="18"/>
              </w:rPr>
              <w:t xml:space="preserve">In-house cable harness assembly team</w:t>
            </w:r>
          </w:p>
        </w:tc>
      </w:tr>
      <w:tr>
        <w:tc>
          <w:tcPr>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pPr>
              <w:jc w:val="left"/>
            </w:pPr>
            <w:r>
              <w:rPr>
                <w:rFonts w:ascii="Lato" w:cs="Lato" w:eastAsia="Lato" w:hAnsi="Lato"/>
                <w:b/>
                <w:bCs/>
                <w:color w:val="333333"/>
                <w:sz w:val="18"/>
                <w:szCs w:val="18"/>
              </w:rPr>
              <w:t xml:space="preserve">NPI speed</w:t>
            </w:r>
          </w:p>
        </w:tc>
        <w:tc>
          <w:tcPr>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pPr>
              <w:jc w:val="left"/>
            </w:pPr>
            <w:r>
              <w:rPr>
                <w:rFonts w:ascii="Lato" w:cs="Lato" w:eastAsia="Lato" w:hAnsi="Lato"/>
                <w:b w:val="false"/>
                <w:bCs w:val="false"/>
                <w:color w:val="333333"/>
                <w:sz w:val="18"/>
                <w:szCs w:val="18"/>
              </w:rPr>
              <w:t xml:space="preserve">6-10 weeks typical</w:t>
            </w:r>
          </w:p>
        </w:tc>
        <w:tc>
          <w:tcPr>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pPr>
              <w:jc w:val="left"/>
            </w:pPr>
            <w:r>
              <w:rPr>
                <w:rFonts w:ascii="Lato" w:cs="Lato" w:eastAsia="Lato" w:hAnsi="Lato"/>
                <w:b w:val="false"/>
                <w:bCs w:val="false"/>
                <w:color w:val="333333"/>
                <w:sz w:val="18"/>
                <w:szCs w:val="18"/>
              </w:rPr>
              <w:t xml:space="preserve">2-3 weeks first article, 4-6 weeks ramp</w:t>
            </w:r>
          </w:p>
        </w:tc>
      </w:tr>
    </w:tbl>
    <w:p>
      <w:pPr>
        <w:spacing w:after="160"/>
      </w:pPr>
      <w:r>
        <w:rPr>
          <w:rFonts w:ascii="Lato" w:cs="Lato" w:eastAsia="Lato" w:hAnsi="Lato"/>
          <w:color w:val="333333"/>
          <w:sz w:val="22"/>
          <w:szCs w:val="22"/>
        </w:rPr>
        <w:t xml:space="preserve">The difference comes down to focus. A PCBA-centric EMS provider dedicates its engineering resources to SMT line optimization and board-level yield improvement. Box build gets the remaining capacity — staffed by technicians who split their time between board rework and mechanical assembly. At GPW, box build is the primary discipline. The engineering team, the facility layout, the quality systems, and the equipment investments are all optimized around one thing: assembling complex electromechanical products to specification.</w:t>
      </w:r>
    </w:p>
    <w:p>
      <w:pPr>
        <w:spacing w:after="160"/>
      </w:pPr>
      <w:r>
        <w:rPr>
          <w:rFonts w:ascii="Lato" w:cs="Lato" w:eastAsia="Lato" w:hAnsi="Lato"/>
          <w:color w:val="333333"/>
          <w:sz w:val="22"/>
          <w:szCs w:val="22"/>
        </w:rPr>
        <w:t xml:space="preserve">This means faster NPI cycles because engineers focus exclusively on assembly — no context-switching between board fabrication and mechanical integration. It means fewer defects because the team designs quality gates specifically for mechanical-electrical integration, not adapting them from PCB inspection protocols. And it means a dedicated program manager who understands your product — not a generalist managing 15 programs across 3 different service lines.</w:t>
      </w:r>
    </w:p>
    <w:p>
      <w:pPr>
        <w:spacing w:after="160"/>
      </w:pPr>
      <w:r>
        <w:rPr>
          <w:rFonts w:ascii="Lato" w:cs="Lato" w:eastAsia="Lato" w:hAnsi="Lato"/>
          <w:color w:val="333333"/>
          <w:sz w:val="22"/>
          <w:szCs w:val="22"/>
        </w:rPr>
        <w:t xml:space="preserve">The practical impact shows up in metrics that matter to procurement and operations teams. Programs that launch at a PCBA-centric provider in 6-10 weeks launch at GPW in 4-6 weeks — because the engineering team does not wait for SMT line scheduling to free up resources. First-pass yield rates run higher because the team designs fixtures, tooling, and test protocols specifically for the product from day one rather than retrofitting a generic assembly process.</w:t>
      </w:r>
    </w:p>
    <w:p>
      <w:pPr>
        <w:pBdr>
          <w:bottom w:val="single" w:color="ADCF91" w:sz="6" w:space="1"/>
        </w:pBdr>
        <w:spacing w:after="200" w:before="200"/>
      </w:pPr>
    </w:p>
    <w:p>
      <w:pPr>
        <w:pStyle w:val="Heading2"/>
        <w:spacing w:after="160" w:before="300"/>
      </w:pPr>
      <w:r>
        <w:rPr>
          <w:rFonts w:ascii="Trirong" w:cs="Trirong" w:eastAsia="Trirong" w:hAnsi="Trirong"/>
          <w:b/>
          <w:bCs/>
          <w:color w:val="2A4E64"/>
          <w:sz w:val="28"/>
          <w:szCs w:val="28"/>
        </w:rPr>
        <w:t xml:space="preserve">Frequently Asked Questions</w:t>
      </w:r>
    </w:p>
    <w:p>
      <w:pPr>
        <w:spacing w:after="80" w:before="200"/>
      </w:pPr>
      <w:r>
        <w:rPr>
          <w:rFonts w:ascii="Lato" w:cs="Lato" w:eastAsia="Lato" w:hAnsi="Lato"/>
          <w:b/>
          <w:bCs/>
          <w:color w:val="23555A"/>
          <w:sz w:val="22"/>
          <w:szCs w:val="22"/>
        </w:rPr>
        <w:t xml:space="preserve">What is box build assembly?</w:t>
      </w:r>
    </w:p>
    <w:p>
      <w:pPr>
        <w:spacing w:after="160"/>
      </w:pPr>
      <w:r>
        <w:rPr>
          <w:rFonts w:ascii="Lato" w:cs="Lato" w:eastAsia="Lato" w:hAnsi="Lato"/>
          <w:color w:val="333333"/>
          <w:sz w:val="22"/>
          <w:szCs w:val="22"/>
        </w:rPr>
        <w:t xml:space="preserve">Box build assembly is the integration of mechanical, electrical, and electromechanical components into a finished enclosure or housing. It includes component mounting, cable routing, connector wiring, firmware loading, functional testing, and final packaging. GPW manages the complete box build scope on one production floor in Monterrey.</w:t>
      </w:r>
    </w:p>
    <w:p>
      <w:pPr>
        <w:spacing w:after="80" w:before="200"/>
      </w:pPr>
      <w:r>
        <w:rPr>
          <w:rFonts w:ascii="Lato" w:cs="Lato" w:eastAsia="Lato" w:hAnsi="Lato"/>
          <w:b/>
          <w:bCs/>
          <w:color w:val="23555A"/>
          <w:sz w:val="22"/>
          <w:szCs w:val="22"/>
        </w:rPr>
        <w:t xml:space="preserve">How long does a box build program take from RFQ to production?</w:t>
      </w:r>
    </w:p>
    <w:p>
      <w:pPr>
        <w:spacing w:after="160"/>
      </w:pPr>
      <w:r>
        <w:rPr>
          <w:rFonts w:ascii="Lato" w:cs="Lato" w:eastAsia="Lato" w:hAnsi="Lato"/>
          <w:color w:val="333333"/>
          <w:sz w:val="22"/>
          <w:szCs w:val="22"/>
        </w:rPr>
        <w:t xml:space="preserve">GPW’s typical timeline runs 2-3 weeks for first article builds after process plan approval, followed by a 4-6 week production ramp. Complex programs with custom fixtures or specialized testing may require additional NPI time. Engineering provides a detailed timeline as part of every RFQ response.</w:t>
      </w:r>
    </w:p>
    <w:p>
      <w:pPr>
        <w:spacing w:after="80" w:before="200"/>
      </w:pPr>
      <w:r>
        <w:rPr>
          <w:rFonts w:ascii="Lato" w:cs="Lato" w:eastAsia="Lato" w:hAnsi="Lato"/>
          <w:b/>
          <w:bCs/>
          <w:color w:val="23555A"/>
          <w:sz w:val="22"/>
          <w:szCs w:val="22"/>
        </w:rPr>
        <w:t xml:space="preserve">What is included in a GPW box build quote?</w:t>
      </w:r>
    </w:p>
    <w:p>
      <w:pPr>
        <w:spacing w:after="160"/>
      </w:pPr>
      <w:r>
        <w:rPr>
          <w:rFonts w:ascii="Lato" w:cs="Lato" w:eastAsia="Lato" w:hAnsi="Lato"/>
          <w:color w:val="333333"/>
          <w:sz w:val="22"/>
          <w:szCs w:val="22"/>
        </w:rPr>
        <w:t xml:space="preserve">Every quote includes DFM review, process planning, first article build and validation, production assembly, integrated testing, packaging, and full component traceability. GPW quotes on a per-unit basis with transparent line-item breakdowns covering labor, materials handling, testing, and packaging — so you know exactly what each cost element covers.</w:t>
      </w:r>
    </w:p>
    <w:p>
      <w:pPr>
        <w:spacing w:after="80" w:before="200"/>
      </w:pPr>
      <w:r>
        <w:rPr>
          <w:rFonts w:ascii="Lato" w:cs="Lato" w:eastAsia="Lato" w:hAnsi="Lato"/>
          <w:b/>
          <w:bCs/>
          <w:color w:val="23555A"/>
          <w:sz w:val="22"/>
          <w:szCs w:val="22"/>
        </w:rPr>
        <w:t xml:space="preserve">Can GPW handle both low-volume and high-volume box builds?</w:t>
      </w:r>
    </w:p>
    <w:p>
      <w:pPr>
        <w:spacing w:after="160"/>
      </w:pPr>
      <w:r>
        <w:rPr>
          <w:rFonts w:ascii="Lato" w:cs="Lato" w:eastAsia="Lato" w:hAnsi="Lato"/>
          <w:color w:val="333333"/>
          <w:sz w:val="22"/>
          <w:szCs w:val="22"/>
        </w:rPr>
        <w:t xml:space="preserve">Yes. GPW’s production floor supports programs ranging from pilot builds of 10 units to sustained production runs exceeding 10,000 units per month. The same documented processes, quality gates, and traceability systems apply regardless of volume. Scaling up means adding capacity, not changing the process.</w:t>
      </w:r>
    </w:p>
    <w:p>
      <w:pPr>
        <w:spacing w:after="80" w:before="200"/>
      </w:pPr>
      <w:r>
        <w:rPr>
          <w:rFonts w:ascii="Lato" w:cs="Lato" w:eastAsia="Lato" w:hAnsi="Lato"/>
          <w:b/>
          <w:bCs/>
          <w:color w:val="23555A"/>
          <w:sz w:val="22"/>
          <w:szCs w:val="22"/>
        </w:rPr>
        <w:t xml:space="preserve">What certifications apply to box build assembly?</w:t>
      </w:r>
    </w:p>
    <w:p>
      <w:pPr>
        <w:spacing w:after="160"/>
      </w:pPr>
      <w:r>
        <w:rPr>
          <w:rFonts w:ascii="Lato" w:cs="Lato" w:eastAsia="Lato" w:hAnsi="Lato"/>
          <w:color w:val="333333"/>
          <w:sz w:val="22"/>
          <w:szCs w:val="22"/>
        </w:rPr>
        <w:t xml:space="preserve">GPW is pursuing IPC-A-610 (electronic assembly acceptability), IPC-A-620 (cable and wire harness), and ISO 9001 certifications. All assembly workmanship already follows these standards. Industry-specific certifications such as AS9100, IATF 16949, and FDA compliance are pursued based on customer program requirements.</w:t>
      </w:r>
    </w:p>
    <w:p>
      <w:pPr>
        <w:spacing w:after="80" w:before="200"/>
      </w:pPr>
      <w:r>
        <w:rPr>
          <w:rFonts w:ascii="Lato" w:cs="Lato" w:eastAsia="Lato" w:hAnsi="Lato"/>
          <w:b/>
          <w:bCs/>
          <w:color w:val="23555A"/>
          <w:sz w:val="22"/>
          <w:szCs w:val="22"/>
        </w:rPr>
        <w:t xml:space="preserve">How does GPW ensure quality in box build assembly?</w:t>
      </w:r>
    </w:p>
    <w:p>
      <w:pPr>
        <w:spacing w:after="160"/>
      </w:pPr>
      <w:r>
        <w:rPr>
          <w:rFonts w:ascii="Lato" w:cs="Lato" w:eastAsia="Lato" w:hAnsi="Lato"/>
          <w:color w:val="333333"/>
          <w:sz w:val="22"/>
          <w:szCs w:val="22"/>
        </w:rPr>
        <w:t xml:space="preserve">GPW integrates quality into the production line through multiple gates: incoming component inspection, in-process visual and continuity checks, end-of-line functional testing, burn-in validation (when required), and final cosmetic inspection. Every unit carries a documented test record tied to its serial number. Technicians route defective units to rework — never pushing them through the line.</w:t>
      </w:r>
    </w:p>
    <w:p>
      <w:pPr>
        <w:spacing w:after="80" w:before="200"/>
      </w:pPr>
      <w:r>
        <w:rPr>
          <w:rFonts w:ascii="Lato" w:cs="Lato" w:eastAsia="Lato" w:hAnsi="Lato"/>
          <w:b/>
          <w:bCs/>
          <w:color w:val="23555A"/>
          <w:sz w:val="22"/>
          <w:szCs w:val="22"/>
        </w:rPr>
        <w:t xml:space="preserve">What industries does GPW serve with box build assembly?</w:t>
      </w:r>
    </w:p>
    <w:p>
      <w:pPr>
        <w:spacing w:after="160"/>
      </w:pPr>
      <w:r>
        <w:rPr>
          <w:rFonts w:ascii="Lato" w:cs="Lato" w:eastAsia="Lato" w:hAnsi="Lato"/>
          <w:color w:val="333333"/>
          <w:sz w:val="22"/>
          <w:szCs w:val="22"/>
        </w:rPr>
        <w:t xml:space="preserve">GPW provides box build assembly across 8 industries: AI and server rack hardware, industrial equipment, telecommunications, medical devices, automotive, energy, aerospace, and appliances. Each vertical has dedicated assembly procedures and compliance protocols tailored to its regulatory requirements.</w:t>
      </w:r>
    </w:p>
    <w:p>
      <w:pPr>
        <w:pBdr>
          <w:bottom w:val="single" w:color="ADCF91" w:sz="6" w:space="1"/>
        </w:pBdr>
        <w:spacing w:after="200" w:before="200"/>
      </w:pPr>
    </w:p>
    <w:p>
      <w:pPr>
        <w:pStyle w:val="Heading2"/>
        <w:spacing w:after="160" w:before="300"/>
      </w:pPr>
      <w:r>
        <w:rPr>
          <w:rFonts w:ascii="Trirong" w:cs="Trirong" w:eastAsia="Trirong" w:hAnsi="Trirong"/>
          <w:b/>
          <w:bCs/>
          <w:color w:val="2A4E64"/>
          <w:sz w:val="28"/>
          <w:szCs w:val="28"/>
        </w:rPr>
        <w:t xml:space="preserve">Start Your Box Build Program</w:t>
      </w:r>
    </w:p>
    <w:p>
      <w:pPr>
        <w:spacing w:after="160"/>
      </w:pPr>
      <w:r>
        <w:rPr>
          <w:rFonts w:ascii="Lato" w:cs="Lato" w:eastAsia="Lato" w:hAnsi="Lato"/>
          <w:color w:val="333333"/>
          <w:sz w:val="22"/>
          <w:szCs w:val="22"/>
        </w:rPr>
        <w:t xml:space="preserve">Whether you have a complete BOM ready for quoting or a concept that needs assembly planning support, GPW’s engineering team is ready to review your project. Submit your specifications — including drawings, component lists, and volume projections — and receive a detailed DFM analysis and proposal within 24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835E" w:val="clear"/>
            <w:tcMar>
              <w:top w:type="dxa" w:w="160"/>
              <w:left w:type="dxa" w:w="200"/>
              <w:bottom w:type="dxa" w:w="160"/>
              <w:right w:type="dxa" w:w="200"/>
            </w:tcMar>
          </w:tcPr>
          <w:p>
            <w:pPr>
              <w:jc w:val="center"/>
            </w:pPr>
            <w:r>
              <w:rPr>
                <w:rFonts w:ascii="Lato" w:cs="Lato" w:eastAsia="Lato" w:hAnsi="Lato"/>
                <w:b/>
                <w:bCs/>
                <w:color w:val="FFFFFF"/>
                <w:sz w:val="24"/>
                <w:szCs w:val="24"/>
              </w:rPr>
              <w:t xml:space="preserve">REQUEST A QUOTE</w:t>
            </w:r>
          </w:p>
        </w:tc>
      </w:tr>
    </w:tbl>
    <w:p>
      <w:pPr>
        <w:spacing w:after="80"/>
        <w:jc w:val="center"/>
      </w:pPr>
      <w:r>
        <w:rPr>
          <w:rFonts w:ascii="Lato" w:cs="Lato" w:eastAsia="Lato" w:hAnsi="Lato"/>
          <w:i/>
          <w:iCs/>
          <w:color w:val="666666"/>
          <w:sz w:val="20"/>
          <w:szCs w:val="20"/>
        </w:rPr>
        <w:t xml:space="preserve">No commitment. No minimum order. Engineering-driven quoting — not a generic sales estimate.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3555A" w:val="clear"/>
            <w:tcMar>
              <w:top w:type="dxa" w:w="160"/>
              <w:left w:type="dxa" w:w="200"/>
              <w:bottom w:type="dxa" w:w="160"/>
              <w:right w:type="dxa" w:w="200"/>
            </w:tcMar>
          </w:tcPr>
          <w:p>
            <w:pPr>
              <w:jc w:val="center"/>
            </w:pPr>
            <w:r>
              <w:rPr>
                <w:rFonts w:ascii="Lato" w:cs="Lato" w:eastAsia="Lato" w:hAnsi="Lato"/>
                <w:b/>
                <w:bCs/>
                <w:color w:val="FFFFFF"/>
                <w:sz w:val="24"/>
                <w:szCs w:val="24"/>
              </w:rPr>
              <w:t xml:space="preserve">EXPLORE RELATED SERVICES</w:t>
            </w:r>
          </w:p>
        </w:tc>
      </w:tr>
    </w:tbl>
    <w:p>
      <w:pPr>
        <w:spacing w:after="80"/>
        <w:jc w:val="center"/>
      </w:pPr>
      <w:r>
        <w:rPr>
          <w:rFonts w:ascii="Lato" w:cs="Lato" w:eastAsia="Lato" w:hAnsi="Lato"/>
          <w:i/>
          <w:iCs/>
          <w:color w:val="666666"/>
          <w:sz w:val="20"/>
          <w:szCs w:val="20"/>
        </w:rPr>
        <w:t xml:space="preserve">Box build combines with cable harness assembly, system integration, and testing. Explore GPW’s full service portfolio.</w:t>
      </w:r>
    </w:p>
    <w:p>
      <w:pPr>
        <w:spacing w:before="80"/>
        <w:jc w:val="center"/>
      </w:pPr>
      <w:r>
        <w:rPr>
          <w:rFonts w:ascii="Lato" w:cs="Lato" w:eastAsia="Lato" w:hAnsi="Lato"/>
          <w:i/>
          <w:iCs/>
          <w:color w:val="666666"/>
          <w:sz w:val="20"/>
          <w:szCs w:val="20"/>
        </w:rPr>
        <w:t xml:space="preserve">Programs shipping to the U.S. benefit from USMCA-compliant production, duty-free cross-border shipping, same-timezone communication, and engineering teams that can visit GPW’s Monterrey facility and return the same day.</w:t>
      </w:r>
    </w:p>
    <w:p>
      <w:pPr>
        <w:spacing w:before="120"/>
        <w:jc w:val="center"/>
      </w:pPr>
      <w:r>
        <w:rPr>
          <w:rFonts w:ascii="Lato" w:cs="Lato" w:eastAsia="Lato" w:hAnsi="Lato"/>
          <w:color w:val="2A4E64"/>
          <w:sz w:val="20"/>
          <w:szCs w:val="20"/>
        </w:rPr>
        <w:t xml:space="preserve">rfq@gpw-solutions.com · +52 (81) [phone number]</w:t>
      </w:r>
    </w:p>
    <w:p>
      <w:pPr>
        <w:pBdr>
          <w:bottom w:val="single" w:color="ADCF91" w:sz="6" w:space="1"/>
        </w:pBdr>
        <w:spacing w:after="200" w:before="200"/>
      </w:pPr>
    </w:p>
    <w:p>
      <w:pPr>
        <w:pStyle w:val="Heading2"/>
        <w:spacing w:after="160" w:before="300"/>
      </w:pPr>
      <w:r>
        <w:rPr>
          <w:rFonts w:ascii="Trirong" w:cs="Trirong" w:eastAsia="Trirong" w:hAnsi="Trirong"/>
          <w:b/>
          <w:bCs/>
          <w:color w:val="2A4E64"/>
          <w:sz w:val="28"/>
          <w:szCs w:val="28"/>
        </w:rPr>
        <w:t xml:space="preserve">Page Metadata</w:t>
      </w:r>
    </w:p>
    <w:p>
      <w:pPr>
        <w:spacing w:after="160"/>
      </w:pPr>
      <w:r>
        <w:rPr>
          <w:rFonts w:ascii="Lato" w:cs="Lato" w:eastAsia="Lato" w:hAnsi="Lato"/>
          <w:b/>
          <w:bCs/>
          <w:color w:val="2A4E64"/>
          <w:sz w:val="22"/>
          <w:szCs w:val="22"/>
        </w:rPr>
        <w:t xml:space="preserve">URL: </w:t>
      </w:r>
      <w:r>
        <w:rPr>
          <w:rFonts w:ascii="Lato" w:cs="Lato" w:eastAsia="Lato" w:hAnsi="Lato"/>
          <w:color w:val="333333"/>
          <w:sz w:val="22"/>
          <w:szCs w:val="22"/>
        </w:rPr>
        <w:t xml:space="preserve">/electromechanical-assembly/services/box-build-assembly/</w:t>
      </w:r>
    </w:p>
    <w:p>
      <w:pPr>
        <w:spacing w:after="160"/>
      </w:pPr>
      <w:r>
        <w:rPr>
          <w:rFonts w:ascii="Lato" w:cs="Lato" w:eastAsia="Lato" w:hAnsi="Lato"/>
          <w:b/>
          <w:bCs/>
          <w:color w:val="2A4E64"/>
          <w:sz w:val="22"/>
          <w:szCs w:val="22"/>
        </w:rPr>
        <w:t xml:space="preserve">H1: </w:t>
      </w:r>
      <w:r>
        <w:rPr>
          <w:rFonts w:ascii="Lato" w:cs="Lato" w:eastAsia="Lato" w:hAnsi="Lato"/>
          <w:color w:val="333333"/>
          <w:sz w:val="22"/>
          <w:szCs w:val="22"/>
        </w:rPr>
        <w:t xml:space="preserve">Box Build Assembly — From BOM to Finished Product Under One Roof</w:t>
      </w:r>
    </w:p>
    <w:p>
      <w:pPr>
        <w:spacing w:after="160"/>
      </w:pPr>
      <w:r>
        <w:rPr>
          <w:rFonts w:ascii="Lato" w:cs="Lato" w:eastAsia="Lato" w:hAnsi="Lato"/>
          <w:b/>
          <w:bCs/>
          <w:color w:val="2A4E64"/>
          <w:sz w:val="22"/>
          <w:szCs w:val="22"/>
        </w:rPr>
        <w:t xml:space="preserve">Title Tag: </w:t>
      </w:r>
      <w:r>
        <w:rPr>
          <w:rFonts w:ascii="Lato" w:cs="Lato" w:eastAsia="Lato" w:hAnsi="Lato"/>
          <w:color w:val="333333"/>
          <w:sz w:val="22"/>
          <w:szCs w:val="22"/>
        </w:rPr>
        <w:t xml:space="preserve">Box Build Assembly Services | OEM Assembly in Mexico | GPW (56 chars)</w:t>
      </w:r>
    </w:p>
    <w:p>
      <w:pPr>
        <w:spacing w:after="160"/>
      </w:pPr>
      <w:r>
        <w:rPr>
          <w:rFonts w:ascii="Lato" w:cs="Lato" w:eastAsia="Lato" w:hAnsi="Lato"/>
          <w:b/>
          <w:bCs/>
          <w:color w:val="2A4E64"/>
          <w:sz w:val="22"/>
          <w:szCs w:val="22"/>
        </w:rPr>
        <w:t xml:space="preserve">Meta Description: </w:t>
      </w:r>
      <w:r>
        <w:rPr>
          <w:rFonts w:ascii="Lato" w:cs="Lato" w:eastAsia="Lato" w:hAnsi="Lato"/>
          <w:color w:val="333333"/>
          <w:sz w:val="22"/>
          <w:szCs w:val="22"/>
        </w:rPr>
        <w:t xml:space="preserve">Complete box build assembly from Monterrey — mechanical, electrical, cabling, firmware, testing, and packaging under one roof. Engineered for U.S. OEMs by GPW. (157 chars)</w:t>
      </w:r>
    </w:p>
    <w:p>
      <w:pPr>
        <w:spacing w:after="160"/>
      </w:pPr>
      <w:r>
        <w:rPr>
          <w:rFonts w:ascii="Lato" w:cs="Lato" w:eastAsia="Lato" w:hAnsi="Lato"/>
          <w:b/>
          <w:bCs/>
          <w:color w:val="2A4E64"/>
          <w:sz w:val="22"/>
          <w:szCs w:val="22"/>
        </w:rPr>
        <w:t xml:space="preserve">Primary Keyword: </w:t>
      </w:r>
      <w:r>
        <w:rPr>
          <w:rFonts w:ascii="Lato" w:cs="Lato" w:eastAsia="Lato" w:hAnsi="Lato"/>
          <w:color w:val="333333"/>
          <w:sz w:val="22"/>
          <w:szCs w:val="22"/>
        </w:rPr>
        <w:t xml:space="preserve">box build assembly</w:t>
      </w:r>
    </w:p>
    <w:p>
      <w:pPr>
        <w:spacing w:after="160"/>
      </w:pPr>
      <w:r>
        <w:rPr>
          <w:rFonts w:ascii="Lato" w:cs="Lato" w:eastAsia="Lato" w:hAnsi="Lato"/>
          <w:b/>
          <w:bCs/>
          <w:color w:val="2A4E64"/>
          <w:sz w:val="22"/>
          <w:szCs w:val="22"/>
        </w:rPr>
        <w:t xml:space="preserve">Schema: </w:t>
      </w:r>
      <w:r>
        <w:rPr>
          <w:rFonts w:ascii="Lato" w:cs="Lato" w:eastAsia="Lato" w:hAnsi="Lato"/>
          <w:color w:val="333333"/>
          <w:sz w:val="22"/>
          <w:szCs w:val="22"/>
        </w:rPr>
        <w:t xml:space="preserve">Service + FAQPage (combined)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DCF91" w:sz="4" w:space="1"/>
      </w:pBdr>
      <w:spacing w:before="100"/>
    </w:pPr>
    <w:r>
      <w:rPr>
        <w:rFonts w:ascii="Lato" w:cs="Lato" w:eastAsia="Lato" w:hAnsi="Lato"/>
        <w:color w:val="999999"/>
        <w:sz w:val="16"/>
        <w:szCs w:val="16"/>
      </w:rPr>
      <w:t xml:space="preserve">Global Precision Works — Confidential</w:t>
    </w:r>
    <w:r>
      <w:rPr>
        <w:rFonts w:ascii="Lato" w:cs="Lato" w:eastAsia="Lato" w:hAnsi="Lato"/>
        <w:color w:val="999999"/>
        <w:sz w:val="16"/>
        <w:szCs w:val="16"/>
      </w:rPr>
      <w:t xml:space="preserve">		Page </w:t>
    </w:r>
    <w:r>
      <w:rPr>
        <w:rFonts w:ascii="Lato" w:cs="Lato" w:eastAsia="Lato" w:hAnsi="Lato"/>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3555A" w:sz="4" w:space="1"/>
      </w:pBdr>
      <w:spacing w:after="200"/>
    </w:pPr>
    <w:r>
      <w:rPr>
        <w:rFonts w:ascii="Trirong" w:cs="Trirong" w:eastAsia="Trirong" w:hAnsi="Trirong"/>
        <w:b/>
        <w:bCs/>
        <w:color w:val="23555A"/>
        <w:sz w:val="18"/>
        <w:szCs w:val="18"/>
      </w:rPr>
      <w:t xml:space="preserve">GPW </w:t>
    </w:r>
    <w:r>
      <w:rPr>
        <w:rFonts w:ascii="Lato" w:cs="Lato" w:eastAsia="Lato" w:hAnsi="Lato"/>
        <w:color w:val="999999"/>
        <w:sz w:val="18"/>
        <w:szCs w:val="18"/>
      </w:rPr>
      <w:t xml:space="preserve">| Box Build Assembly — Web Copy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ato" w:cs="Lato" w:eastAsia="Lato" w:hAnsi="Lat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rirong" w:cs="Trirong" w:eastAsia="Trirong" w:hAnsi="Trirong"/>
      <w:b/>
      <w:bCs/>
      <w:color w:val="23555A"/>
      <w:sz w:val="36"/>
      <w:szCs w:val="36"/>
    </w:rPr>
  </w:style>
  <w:style w:type="paragraph" w:styleId="Heading2">
    <w:name w:val="Heading 2"/>
    <w:basedOn w:val="Normal"/>
    <w:next w:val="Normal"/>
    <w:qFormat/>
    <w:pPr>
      <w:spacing w:after="160" w:before="300"/>
      <w:outlineLvl w:val="1"/>
    </w:pPr>
    <w:rPr>
      <w:rFonts w:ascii="Trirong" w:cs="Trirong" w:eastAsia="Trirong" w:hAnsi="Trirong"/>
      <w:b/>
      <w:bCs/>
      <w:color w:val="2A4E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2026-03-07T03:21:43.751Z</dcterms:created>
  <dcterms:modified xsi:type="dcterms:W3CDTF">2026-03-07T03:21:43.751Z</dcterms:modified>
</cp:coreProperties>
</file>

<file path=docProps/custom.xml><?xml version="1.0" encoding="utf-8"?>
<Properties xmlns="http://schemas.openxmlformats.org/officeDocument/2006/custom-properties" xmlns:vt="http://schemas.openxmlformats.org/officeDocument/2006/docPropsVTypes"/>
</file>