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left"/>
      </w:pPr>
      <w:r>
        <w:rPr>
          <w:rFonts w:ascii="Trirong" w:cs="Trirong" w:eastAsia="Trirong" w:hAnsi="Trirong"/>
          <w:b/>
          <w:bCs/>
          <w:color w:val="23555A"/>
          <w:sz w:val="52"/>
          <w:szCs w:val="52"/>
        </w:rPr>
        <w:t xml:space="preserve">SYSTEM INTEGRATION</w:t>
      </w:r>
    </w:p>
    <w:p>
      <w:pPr>
        <w:spacing w:after="100"/>
        <w:jc w:val="left"/>
      </w:pPr>
      <w:r>
        <w:rPr>
          <w:rFonts w:ascii="Lato" w:cs="Lato" w:eastAsia="Lato" w:hAnsi="Lato"/>
          <w:color w:val="2A4E64"/>
          <w:sz w:val="28"/>
          <w:szCs w:val="28"/>
        </w:rPr>
        <w:t xml:space="preserve">SERVICE PAGE — CONTENT COPY</w:t>
      </w:r>
    </w:p>
    <w:p>
      <w:pPr>
        <w:spacing w:after="400"/>
        <w:jc w:val="left"/>
      </w:pPr>
      <w:r>
        <w:rPr>
          <w:rFonts w:ascii="Lato" w:cs="Lato" w:eastAsia="Lato" w:hAnsi="Lato"/>
          <w:color w:val="ED835E"/>
          <w:sz w:val="22"/>
          <w:szCs w:val="22"/>
        </w:rPr>
        <w:t xml:space="preserve">Global Precision Works  |  gpw-solutions.com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3555A"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WORD COUNT</w:t>
            </w:r>
          </w:p>
          <w:p>
            <w:pPr>
              <w:jc w:val="center"/>
            </w:pPr>
            <w:r>
              <w:rPr>
                <w:rFonts w:ascii="Lato" w:cs="Lato" w:eastAsia="Lato" w:hAnsi="Lato"/>
                <w:b/>
                <w:bCs/>
                <w:color w:val="FFFFFF"/>
                <w:sz w:val="28"/>
                <w:szCs w:val="28"/>
              </w:rPr>
              <w:t xml:space="preserve">~2,800</w:t>
            </w:r>
          </w:p>
        </w:tc>
        <w:tc>
          <w:tcPr>
            <w:tcW w:type="dxa" w:w="3120"/>
            <w:tcBorders>
              <w:top w:val="none" w:color="FFFFFF" w:sz="0"/>
              <w:left w:val="none" w:color="FFFFFF" w:sz="0"/>
              <w:bottom w:val="none" w:color="FFFFFF" w:sz="0"/>
              <w:right w:val="none" w:color="FFFFFF" w:sz="0"/>
            </w:tcBorders>
            <w:shd w:fill="2A4E64"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PAGE TYPE</w:t>
            </w:r>
          </w:p>
          <w:p>
            <w:pPr>
              <w:jc w:val="center"/>
            </w:pPr>
            <w:r>
              <w:rPr>
                <w:rFonts w:ascii="Lato" w:cs="Lato" w:eastAsia="Lato" w:hAnsi="Lato"/>
                <w:b/>
                <w:bCs/>
                <w:color w:val="FFFFFF"/>
                <w:sz w:val="28"/>
                <w:szCs w:val="28"/>
              </w:rPr>
              <w:t xml:space="preserve">Service Page</w:t>
            </w:r>
          </w:p>
        </w:tc>
        <w:tc>
          <w:tcPr>
            <w:tcW w:type="dxa" w:w="3120"/>
            <w:tcBorders>
              <w:top w:val="none" w:color="FFFFFF" w:sz="0"/>
              <w:left w:val="none" w:color="FFFFFF" w:sz="0"/>
              <w:bottom w:val="none" w:color="FFFFFF" w:sz="0"/>
              <w:right w:val="none" w:color="FFFFFF" w:sz="0"/>
            </w:tcBorders>
            <w:shd w:fill="ED835E"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PRIORITY</w:t>
            </w:r>
          </w:p>
          <w:p>
            <w:pPr>
              <w:jc w:val="center"/>
            </w:pPr>
            <w:r>
              <w:rPr>
                <w:rFonts w:ascii="Lato" w:cs="Lato" w:eastAsia="Lato" w:hAnsi="Lato"/>
                <w:b/>
                <w:bCs/>
                <w:color w:val="FFFFFF"/>
                <w:sz w:val="28"/>
                <w:szCs w:val="28"/>
              </w:rPr>
              <w:t xml:space="preserve">P1</w:t>
            </w:r>
          </w:p>
        </w:tc>
      </w:tr>
    </w:tbl>
    <w:p>
      <w:pPr>
        <w:spacing w:before="600"/>
      </w:pPr>
      <w:r>
        <w:rPr>
          <w:rFonts w:ascii="Lato" w:cs="Lato" w:eastAsia="Lato" w:hAnsi="Lato"/>
          <w:i/>
          <w:iCs/>
          <w:color w:val="E0E0E0"/>
          <w:sz w:val="20"/>
          <w:szCs w:val="20"/>
        </w:rPr>
        <w:t xml:space="preserve">URL: /electromechanical-assembly/services/system-integration/</w:t>
      </w:r>
    </w:p>
    <w:p>
      <w:pPr>
        <w:spacing w:after="200"/>
      </w:pPr>
      <w:r>
        <w:rPr>
          <w:rFonts w:ascii="Lato" w:cs="Lato" w:eastAsia="Lato" w:hAnsi="Lato"/>
          <w:i/>
          <w:iCs/>
          <w:color w:val="E0E0E0"/>
          <w:sz w:val="20"/>
          <w:szCs w:val="20"/>
        </w:rPr>
        <w:t xml:space="preserve">SEO Title: System Integration Services | Full Product Assembly Mexico | GPW</w:t>
      </w:r>
    </w:p>
    <w:p>
      <w:pPr>
        <w:pageBreakBefore/>
      </w:pPr>
    </w:p>
    <w:p>
      <w:pPr>
        <w:pStyle w:val="Heading1"/>
        <w:spacing w:after="200" w:before="360"/>
      </w:pPr>
      <w:r>
        <w:rPr>
          <w:rFonts w:ascii="Trirong" w:cs="Trirong" w:eastAsia="Trirong" w:hAnsi="Trirong"/>
          <w:b/>
          <w:bCs/>
          <w:color w:val="23555A"/>
          <w:sz w:val="36"/>
          <w:szCs w:val="36"/>
        </w:rPr>
        <w:t xml:space="preserve">SECTION 1: Hero</w:t>
      </w:r>
    </w:p>
    <w:p>
      <w:pPr>
        <w:pStyle w:val="Heading2"/>
        <w:spacing w:after="160" w:before="300"/>
      </w:pPr>
      <w:r>
        <w:rPr>
          <w:rFonts w:ascii="Trirong" w:cs="Trirong" w:eastAsia="Trirong" w:hAnsi="Trirong"/>
          <w:b/>
          <w:bCs/>
          <w:color w:val="2A4E64"/>
          <w:sz w:val="28"/>
          <w:szCs w:val="28"/>
        </w:rPr>
        <w:t xml:space="preserve">System Integration — Mechanical Precision Meets Electrical Reliability</w:t>
      </w:r>
    </w:p>
    <w:p>
      <w:pPr>
        <w:spacing w:after="160"/>
        <w:rPr>
          <w:i/>
          <w:iCs/>
          <w:color w:val="2A4E64"/>
        </w:rPr>
      </w:pPr>
      <w:r>
        <w:rPr>
          <w:rFonts w:ascii="Lato" w:cs="Lato" w:eastAsia="Lato" w:hAnsi="Lato"/>
          <w:i/>
          <w:iCs/>
          <w:color w:val="2A4E64"/>
          <w:sz w:val="22"/>
          <w:szCs w:val="22"/>
        </w:rPr>
        <w:t xml:space="preserve">Global Precision Works (GPW) brings together mechanical structures, electrical subsystems, cable routing, firmware, and system-level testing into a single production program — delivering fully validated products from Monterrey to your U.S. dock.</w:t>
      </w:r>
    </w:p>
    <w:p>
      <w:pPr>
        <w:spacing w:after="160"/>
      </w:pPr>
      <w:r>
        <w:rPr>
          <w:rFonts w:ascii="Lato" w:cs="Lato" w:eastAsia="Lato" w:hAnsi="Lato"/>
          <w:color w:val="333333"/>
          <w:sz w:val="22"/>
          <w:szCs w:val="22"/>
        </w:rPr>
        <w:t xml:space="preserve">A product with 6 PCBAs, 2 power supplies, 14 cable assemblies, and 200+ discrete components does not fail because one board was soldered incorrectly. It fails because the subsystems were not integrated correctly — a cable harness pinched during mechanical assembly, a firmware version loaded onto the wrong board revision, or a thermal management path blocked by poor component placement.</w:t>
      </w:r>
    </w:p>
    <w:p>
      <w:pPr>
        <w:spacing w:after="160"/>
      </w:pPr>
      <w:r>
        <w:rPr>
          <w:rFonts w:ascii="Lato" w:cs="Lato" w:eastAsia="Lato" w:hAnsi="Lato"/>
          <w:color w:val="333333"/>
          <w:sz w:val="22"/>
          <w:szCs w:val="22"/>
        </w:rPr>
        <w:t xml:space="preserve">System integration is the discipline that prevents those failures. It is not box build with extra steps. It is a fundamentally different engineering approach — one that considers the interactions between mechanical, electrical, and software subsystems from the first DFM review through final system-level validation.</w:t>
      </w:r>
    </w:p>
    <w:p>
      <w:pPr>
        <w:spacing w:after="160"/>
      </w:pPr>
      <w:r>
        <w:rPr>
          <w:rFonts w:ascii="Lato" w:cs="Lato" w:eastAsia="Lato" w:hAnsi="Lato"/>
          <w:color w:val="333333"/>
          <w:sz w:val="22"/>
          <w:szCs w:val="22"/>
        </w:rPr>
        <w:t xml:space="preserve">GPW operates as an assembly-first integrator. The engineering team, facility layout, and quality systems focus on one objective: building complete electromechanical products that function as designed. Your program runs on a dedicated line in Monterrey, in the same timezone as your U.S. operations — available for real-time engineering collaboration without overnight email delays.</w:t>
      </w:r>
    </w:p>
    <w:p>
      <w:pPr>
        <w:spacing w:after="160"/>
      </w:pPr>
      <w:r>
        <w:rPr>
          <w:rFonts w:ascii="Lato" w:cs="Lato" w:eastAsia="Lato" w:hAnsi="Lato"/>
          <w:color w:val="333333"/>
          <w:sz w:val="22"/>
          <w:szCs w:val="22"/>
        </w:rPr>
        <w:t xml:space="preserve">Whether you supply all components, use GPW’s procurement team to source through your approved vendors, or use GPW’s own supplier network, the integration process remains the same: disciplined, documented, and repeatable.</w:t>
      </w:r>
    </w:p>
    <w:p>
      <w:pPr>
        <w:spacing w:after="160"/>
      </w:pPr>
      <w:r>
        <w:rPr>
          <w:rFonts w:ascii="Lato" w:cs="Lato" w:eastAsia="Lato" w:hAnsi="Lato"/>
          <w:color w:val="333333"/>
          <w:sz w:val="22"/>
          <w:szCs w:val="22"/>
        </w:rPr>
        <w:t xml:space="preserve">This nearshore approach puts your integration partner under one roof with your program — from BOM to finished product. No splitting mechanical assembly across one facility and electrical integration across another. No shipping partially assembled units between sites. One production floor, one engineering team, one quality system tracking every subsystem from receiving dock to shipping dock.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 →</w:t>
            </w:r>
          </w:p>
        </w:tc>
      </w:tr>
    </w:tbl>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2: Definition Block</w:t>
      </w:r>
    </w:p>
    <w:p>
      <w:pPr>
        <w:spacing w:after="120" w:before="240"/>
      </w:pPr>
      <w:r>
        <w:rPr>
          <w:rFonts w:ascii="Trirong" w:cs="Trirong" w:eastAsia="Trirong" w:hAnsi="Trirong"/>
          <w:b/>
          <w:bCs/>
          <w:color w:val="23555A"/>
          <w:sz w:val="24"/>
          <w:szCs w:val="24"/>
        </w:rPr>
        <w:t xml:space="preserve">What Is System Integration in Contract Manufacturing?</w:t>
      </w:r>
    </w:p>
    <w:p>
      <w:pPr>
        <w:spacing w:after="160"/>
      </w:pPr>
      <w:r>
        <w:rPr>
          <w:rFonts w:ascii="Lato" w:cs="Lato" w:eastAsia="Lato" w:hAnsi="Lato"/>
          <w:color w:val="333333"/>
          <w:sz w:val="22"/>
          <w:szCs w:val="22"/>
        </w:rPr>
        <w:t xml:space="preserve">System integration in contract manufacturing is the process of combining multiple mechanical, electrical, and electromechanical subsystems into a single functional product — including structural assembly, component mounting, electrical interconnection, firmware loading, and system-level testing. Unlike board-level assembly (PCBA) or simple box build, system integration addresses the interactions between subsystems: how the power distribution feeds multiple boards, how the cooling system affects component placement, and how firmware versions must match specific hardware revisions.</w:t>
      </w:r>
    </w:p>
    <w:p>
      <w:pPr>
        <w:spacing w:after="160"/>
      </w:pPr>
      <w:r>
        <w:rPr>
          <w:rFonts w:ascii="Lato" w:cs="Lato" w:eastAsia="Lato" w:hAnsi="Lato"/>
          <w:b/>
          <w:bCs/>
          <w:color w:val="23555A"/>
          <w:sz w:val="22"/>
          <w:szCs w:val="22"/>
        </w:rPr>
        <w:t xml:space="preserve">Key characteristics:</w:t>
      </w:r>
    </w:p>
    <w:p>
      <w:pPr>
        <w:pStyle w:val="ListParagraph"/>
        <w:numPr>
          <w:ilvl w:val="0"/>
          <w:numId w:val="2"/>
        </w:numPr>
        <w:spacing w:after="80"/>
      </w:pPr>
      <w:r>
        <w:rPr>
          <w:rFonts w:ascii="Lato" w:cs="Lato" w:eastAsia="Lato" w:hAnsi="Lato"/>
          <w:color w:val="333333"/>
          <w:sz w:val="22"/>
          <w:szCs w:val="22"/>
        </w:rPr>
        <w:t xml:space="preserve">Combines 3 or more distinct subsystems (mechanical structure, electrical, cabling, firmware, thermal management)</w:t>
      </w:r>
    </w:p>
    <w:p>
      <w:pPr>
        <w:pStyle w:val="ListParagraph"/>
        <w:numPr>
          <w:ilvl w:val="0"/>
          <w:numId w:val="2"/>
        </w:numPr>
        <w:spacing w:after="80"/>
      </w:pPr>
      <w:r>
        <w:rPr>
          <w:rFonts w:ascii="Lato" w:cs="Lato" w:eastAsia="Lato" w:hAnsi="Lato"/>
          <w:color w:val="333333"/>
          <w:sz w:val="22"/>
          <w:szCs w:val="22"/>
        </w:rPr>
        <w:t xml:space="preserve">Requires inter-subsystem validation — not just component-level testing</w:t>
      </w:r>
    </w:p>
    <w:p>
      <w:pPr>
        <w:pStyle w:val="ListParagraph"/>
        <w:numPr>
          <w:ilvl w:val="0"/>
          <w:numId w:val="2"/>
        </w:numPr>
        <w:spacing w:after="80"/>
      </w:pPr>
      <w:r>
        <w:rPr>
          <w:rFonts w:ascii="Lato" w:cs="Lato" w:eastAsia="Lato" w:hAnsi="Lato"/>
          <w:color w:val="333333"/>
          <w:sz w:val="22"/>
          <w:szCs w:val="22"/>
        </w:rPr>
        <w:t xml:space="preserve">Includes firmware loading, configuration, and version-controlled software deployment</w:t>
      </w:r>
    </w:p>
    <w:p>
      <w:pPr>
        <w:pStyle w:val="ListParagraph"/>
        <w:numPr>
          <w:ilvl w:val="0"/>
          <w:numId w:val="2"/>
        </w:numPr>
        <w:spacing w:after="80"/>
      </w:pPr>
      <w:r>
        <w:rPr>
          <w:rFonts w:ascii="Lato" w:cs="Lato" w:eastAsia="Lato" w:hAnsi="Lato"/>
          <w:color w:val="333333"/>
          <w:sz w:val="22"/>
          <w:szCs w:val="22"/>
        </w:rPr>
        <w:t xml:space="preserve">Produces a complete, tested product ready for end-customer delivery</w:t>
      </w:r>
    </w:p>
    <w:p>
      <w:pPr>
        <w:spacing w:after="160"/>
      </w:pPr>
      <w:r>
        <w:rPr>
          <w:rFonts w:ascii="Lato" w:cs="Lato" w:eastAsia="Lato" w:hAnsi="Lato"/>
          <w:b/>
          <w:bCs/>
          <w:color w:val="23555A"/>
          <w:sz w:val="22"/>
          <w:szCs w:val="22"/>
        </w:rPr>
        <w:t xml:space="preserve">Example: </w:t>
      </w:r>
      <w:r>
        <w:rPr>
          <w:rFonts w:ascii="Lato" w:cs="Lato" w:eastAsia="Lato" w:hAnsi="Lato"/>
          <w:color w:val="333333"/>
          <w:sz w:val="22"/>
          <w:szCs w:val="22"/>
        </w:rPr>
        <w:t xml:space="preserve">An industrial automation OEM sends GPW the mechanical frame, control boards, motor drive assemblies, cable harnesses, sensor packages, and firmware images for a production control unit. GPW can also source any or all of these components — through its own supplier network, the customer’s approved vendors, or a combination of both. GPW assembles the mechanical frame, mounts the boards and drives, routes and terminates all cabling, loads the correct firmware to each controller, runs a 65-point functional test that validates subsystem communication, and ships a finished unit packaged to the customer’s logistics specifications.</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3: GPW’s Approach — From Requirements to Validated System</w:t>
      </w:r>
    </w:p>
    <w:p>
      <w:pPr>
        <w:spacing w:after="160"/>
      </w:pPr>
      <w:r>
        <w:rPr>
          <w:rFonts w:ascii="Lato" w:cs="Lato" w:eastAsia="Lato" w:hAnsi="Lato"/>
          <w:color w:val="333333"/>
          <w:sz w:val="22"/>
          <w:szCs w:val="22"/>
        </w:rPr>
        <w:t xml:space="preserve">Every system integration program at GPW follows a structured process. This is not a generic assembly workflow adapted for complex products. It is a purpose-built methodology designed for multi-subsystem products that require inter-discipline coordination.</w:t>
      </w:r>
    </w:p>
    <w:p>
      <w:pPr>
        <w:spacing w:after="120" w:before="240"/>
      </w:pPr>
      <w:r>
        <w:rPr>
          <w:rFonts w:ascii="Trirong" w:cs="Trirong" w:eastAsia="Trirong" w:hAnsi="Trirong"/>
          <w:b/>
          <w:bCs/>
          <w:color w:val="23555A"/>
          <w:sz w:val="24"/>
          <w:szCs w:val="24"/>
        </w:rPr>
        <w:t xml:space="preserve">Step 1: Requirements Intake and Integration Planning</w:t>
      </w:r>
    </w:p>
    <w:p>
      <w:pPr>
        <w:spacing w:after="160"/>
      </w:pPr>
      <w:r>
        <w:rPr>
          <w:rFonts w:ascii="Lato" w:cs="Lato" w:eastAsia="Lato" w:hAnsi="Lato"/>
          <w:color w:val="333333"/>
          <w:sz w:val="22"/>
          <w:szCs w:val="22"/>
        </w:rPr>
        <w:t xml:space="preserve">System integration begins with the product — not the process. GPW’s engineering team reviews the complete technical package: mechanical drawings, electrical schematics, cable routing diagrams, firmware specifications, and test requirements. The goal is to understand how the subsystems interact, not just how individual components are assembled.</w:t>
      </w:r>
    </w:p>
    <w:p>
      <w:pPr>
        <w:spacing w:after="160"/>
      </w:pPr>
      <w:r>
        <w:rPr>
          <w:rFonts w:ascii="Lato" w:cs="Lato" w:eastAsia="Lato" w:hAnsi="Lato"/>
          <w:color w:val="333333"/>
          <w:sz w:val="22"/>
          <w:szCs w:val="22"/>
        </w:rPr>
        <w:t xml:space="preserve">This review produces an Integration Plan — a document that defines the assembly sequence, identifies subsystem interfaces, maps firmware version dependencies, and establishes the test protocol for system-level validation. The Integration Plan also identifies which components GPW will source, which come from the customer’s approved vendors, and which the customer will furnish directly.</w:t>
      </w:r>
    </w:p>
    <w:p>
      <w:pPr>
        <w:spacing w:after="160"/>
      </w:pPr>
      <w:r>
        <w:rPr>
          <w:rFonts w:ascii="Lato" w:cs="Lato" w:eastAsia="Lato" w:hAnsi="Lato"/>
          <w:color w:val="333333"/>
          <w:sz w:val="22"/>
          <w:szCs w:val="22"/>
        </w:rPr>
        <w:t xml:space="preserve">If GPW’s engineers identify design modifications that improve assembly efficiency or system reliability, those recommendations go back to the customer for review before the plan is finalized. This collaborative approach catches integration conflicts early — a cable routing path that blocks a board swap-out, a thermal design that requires component resequencing, or a test point that becomes inaccessible after mechanical assembly.</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A documented Integration Plan with assembly sequence, subsystem interface map, firmware deployment protocol, and procurement responsibilities.</w:t>
      </w:r>
    </w:p>
    <w:p>
      <w:pPr>
        <w:spacing w:after="120" w:before="240"/>
      </w:pPr>
      <w:r>
        <w:rPr>
          <w:rFonts w:ascii="Trirong" w:cs="Trirong" w:eastAsia="Trirong" w:hAnsi="Trirong"/>
          <w:b/>
          <w:bCs/>
          <w:color w:val="23555A"/>
          <w:sz w:val="24"/>
          <w:szCs w:val="24"/>
        </w:rPr>
        <w:t xml:space="preserve">Step 2: Mechanical and Electrical Subsystem Assembly</w:t>
      </w:r>
    </w:p>
    <w:p>
      <w:pPr>
        <w:spacing w:after="160"/>
      </w:pPr>
      <w:r>
        <w:rPr>
          <w:rFonts w:ascii="Lato" w:cs="Lato" w:eastAsia="Lato" w:hAnsi="Lato"/>
          <w:color w:val="333333"/>
          <w:sz w:val="22"/>
          <w:szCs w:val="22"/>
        </w:rPr>
        <w:t xml:space="preserve">With the Integration Plan approved, GPW’s production team begins building. Mechanical and electrical assembly happen in coordinated stages — not sequentially. The mechanical frame goes up first, then electrical subsystems are integrated in the sequence defined by the Integration Plan. This staged approach prevents the most common integration failure: assembling mechanical structures that block access to electrical mounting points or cable routing paths.</w:t>
      </w:r>
    </w:p>
    <w:p>
      <w:pPr>
        <w:spacing w:after="160"/>
      </w:pPr>
      <w:r>
        <w:rPr>
          <w:rFonts w:ascii="Lato" w:cs="Lato" w:eastAsia="Lato" w:hAnsi="Lato"/>
          <w:color w:val="333333"/>
          <w:sz w:val="22"/>
          <w:szCs w:val="22"/>
        </w:rPr>
        <w:t xml:space="preserve">Operators work from visual work instructions displayed at each station. Every fastener torque, cable termination, and component placement is documented. The work instructions reference specific drawing revisions and BOM line items — eliminating ambiguity about which hardware version is being built.</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A mechanically and electrically complete assembly, ready for firmware and system-level validation.</w:t>
      </w:r>
    </w:p>
    <w:p>
      <w:pPr>
        <w:spacing w:after="120" w:before="240"/>
      </w:pPr>
      <w:r>
        <w:rPr>
          <w:rFonts w:ascii="Trirong" w:cs="Trirong" w:eastAsia="Trirong" w:hAnsi="Trirong"/>
          <w:b/>
          <w:bCs/>
          <w:color w:val="23555A"/>
          <w:sz w:val="24"/>
          <w:szCs w:val="24"/>
        </w:rPr>
        <w:t xml:space="preserve">Step 3: Firmware Loading and Configuration</w:t>
      </w:r>
    </w:p>
    <w:p>
      <w:pPr>
        <w:spacing w:after="160"/>
      </w:pPr>
      <w:r>
        <w:rPr>
          <w:rFonts w:ascii="Lato" w:cs="Lato" w:eastAsia="Lato" w:hAnsi="Lato"/>
          <w:color w:val="333333"/>
          <w:sz w:val="22"/>
          <w:szCs w:val="22"/>
        </w:rPr>
        <w:t xml:space="preserve">Firmware loading in a multi-board system is not a single-step process. Each controller, processor, or programmable device may require a different firmware image, a specific loading sequence, and configuration parameters that depend on the hardware revision and the end-customer’s requirements.</w:t>
      </w:r>
    </w:p>
    <w:p>
      <w:pPr>
        <w:spacing w:after="160"/>
      </w:pPr>
      <w:r>
        <w:rPr>
          <w:rFonts w:ascii="Lato" w:cs="Lato" w:eastAsia="Lato" w:hAnsi="Lato"/>
          <w:color w:val="333333"/>
          <w:sz w:val="22"/>
          <w:szCs w:val="22"/>
        </w:rPr>
        <w:t xml:space="preserve">GPW maintains version-controlled firmware repositories for each program. The loading protocol specifies which firmware version goes on which board, the correct loading sequence, post-load verification checks, and configuration parameters. Firmware mismatches — loading Rev 2.1 firmware onto a Rev 3.0 board — are caught by the protocol before the system reaches testing.</w:t>
      </w:r>
    </w:p>
    <w:p>
      <w:pPr>
        <w:spacing w:after="160"/>
      </w:pPr>
      <w:r>
        <w:rPr>
          <w:rFonts w:ascii="Lato" w:cs="Lato" w:eastAsia="Lato" w:hAnsi="Lato"/>
          <w:color w:val="333333"/>
          <w:sz w:val="22"/>
          <w:szCs w:val="22"/>
        </w:rPr>
        <w:t xml:space="preserve">For programs that require it, GPW supports serialized firmware deployment: each unit receives a unique configuration tied to its serial number, logged in the production record.</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Every board in the system carries the correct firmware version, verified and documented.</w:t>
      </w:r>
    </w:p>
    <w:p>
      <w:pPr>
        <w:spacing w:after="120" w:before="240"/>
      </w:pPr>
      <w:r>
        <w:rPr>
          <w:rFonts w:ascii="Trirong" w:cs="Trirong" w:eastAsia="Trirong" w:hAnsi="Trirong"/>
          <w:b/>
          <w:bCs/>
          <w:color w:val="23555A"/>
          <w:sz w:val="24"/>
          <w:szCs w:val="24"/>
        </w:rPr>
        <w:t xml:space="preserve">Step 4: System-Level Testing and Validation</w:t>
      </w:r>
    </w:p>
    <w:p>
      <w:pPr>
        <w:spacing w:after="160"/>
      </w:pPr>
      <w:r>
        <w:rPr>
          <w:rFonts w:ascii="Lato" w:cs="Lato" w:eastAsia="Lato" w:hAnsi="Lato"/>
          <w:color w:val="333333"/>
          <w:sz w:val="22"/>
          <w:szCs w:val="22"/>
        </w:rPr>
        <w:t xml:space="preserve">System-level testing validates what component-level testing cannot: that the subsystems work together as designed. A board that passes its own functional test may fail when communicating with other boards through the backplane. A cable harness that tests clean on a continuity checker may introduce noise when routed next to a high-frequency signal path. System-level testing catches these interaction failures.</w:t>
      </w:r>
    </w:p>
    <w:p>
      <w:pPr>
        <w:spacing w:after="160"/>
      </w:pPr>
      <w:r>
        <w:rPr>
          <w:rFonts w:ascii="Lato" w:cs="Lato" w:eastAsia="Lato" w:hAnsi="Lato"/>
          <w:color w:val="333333"/>
          <w:sz w:val="22"/>
          <w:szCs w:val="22"/>
        </w:rPr>
        <w:t xml:space="preserve">GPW designs test protocols specific to each product. The test plan covers power sequencing, subsystem communication verification, functional performance under load, thermal behavior, and safety compliance. For programs that require it, GPW runs burn-in testing under sustained load to identify early-life failures before the product ships. Each test point produces a documented result tied to the unit’s serial number.</w:t>
      </w:r>
    </w:p>
    <w:p>
      <w:pPr>
        <w:spacing w:after="160"/>
      </w:pPr>
      <w:r>
        <w:rPr>
          <w:rFonts w:ascii="Lato" w:cs="Lato" w:eastAsia="Lato" w:hAnsi="Lato"/>
          <w:color w:val="333333"/>
          <w:sz w:val="22"/>
          <w:szCs w:val="22"/>
        </w:rPr>
        <w:t xml:space="preserve">If a unit fails any test, technicians route it to a dedicated diagnostic station. The failure is analyzed at the system level — not just the component level — because integration failures often present symptoms on one subsystem while originating in another.</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A fully validated system with documented test results for every functional parameter.</w:t>
      </w:r>
    </w:p>
    <w:p>
      <w:pPr>
        <w:spacing w:after="120" w:before="240"/>
      </w:pPr>
      <w:r>
        <w:rPr>
          <w:rFonts w:ascii="Trirong" w:cs="Trirong" w:eastAsia="Trirong" w:hAnsi="Trirong"/>
          <w:b/>
          <w:bCs/>
          <w:color w:val="23555A"/>
          <w:sz w:val="24"/>
          <w:szCs w:val="24"/>
        </w:rPr>
        <w:t xml:space="preserve">Step 5: Final Inspection, Packaging, and Shipment</w:t>
      </w:r>
    </w:p>
    <w:p>
      <w:pPr>
        <w:spacing w:after="160"/>
      </w:pPr>
      <w:r>
        <w:rPr>
          <w:rFonts w:ascii="Lato" w:cs="Lato" w:eastAsia="Lato" w:hAnsi="Lato"/>
          <w:color w:val="333333"/>
          <w:sz w:val="22"/>
          <w:szCs w:val="22"/>
        </w:rPr>
        <w:t xml:space="preserve">The final stage covers cosmetic inspection, labeling, serialization, and packaging. GPW configures packaging for each program: ESD-safe materials for sensitive electronics, custom foam inserts for shock protection during transit, multi-unit palletization for volume shipments, and customer-branded packaging when required. USMCA-compliant documentation ensures duty-free border crossing for qualifying products.</w:t>
      </w:r>
    </w:p>
    <w:p>
      <w:pPr>
        <w:spacing w:after="160"/>
      </w:pPr>
      <w:r>
        <w:rPr>
          <w:rFonts w:ascii="Lato" w:cs="Lato" w:eastAsia="Lato" w:hAnsi="Lato"/>
          <w:color w:val="333333"/>
          <w:sz w:val="22"/>
          <w:szCs w:val="22"/>
        </w:rPr>
        <w:t xml:space="preserve">For programs requiring direct-to-customer shipment, GPW coordinates logistics from the Monterrey facility to U.S. destinations, with transit times of 1-3 days to major U.S. markets. The shipping documentation — packing lists, certificates of conformance, and customs declarations — is prepared as part of the production process, not as an afterthought.</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Finished systems arrive at your dock ready for deployment — tested, documented, and packaged to your specification.</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4: Industries That Use System Integration</w:t>
      </w:r>
    </w:p>
    <w:p>
      <w:pPr>
        <w:spacing w:after="160"/>
      </w:pPr>
      <w:r>
        <w:rPr>
          <w:rFonts w:ascii="Lato" w:cs="Lato" w:eastAsia="Lato" w:hAnsi="Lato"/>
          <w:color w:val="333333"/>
          <w:sz w:val="22"/>
          <w:szCs w:val="22"/>
        </w:rPr>
        <w:t xml:space="preserve">System integration is the most complex service GPW offers. It applies wherever a product combines multiple subsystems that must function together — not just sit inside the same enclosure. These four verticals represent the highest-complexity integration programs GPW supports, though the methodology applies across all eight industries.</w:t>
      </w:r>
    </w:p>
    <w:p>
      <w:pPr>
        <w:pStyle w:val="ListParagraph"/>
        <w:numPr>
          <w:ilvl w:val="0"/>
          <w:numId w:val="2"/>
        </w:numPr>
        <w:spacing w:after="80"/>
      </w:pPr>
      <w:r>
        <w:rPr>
          <w:rFonts w:ascii="Lato" w:cs="Lato" w:eastAsia="Lato" w:hAnsi="Lato"/>
          <w:b/>
          <w:bCs/>
          <w:color w:val="23555A"/>
          <w:sz w:val="22"/>
          <w:szCs w:val="22"/>
        </w:rPr>
        <w:t xml:space="preserve">AI &amp; Server Rack Assembly: </w:t>
      </w:r>
      <w:r>
        <w:rPr>
          <w:rFonts w:ascii="Lato" w:cs="Lato" w:eastAsia="Lato" w:hAnsi="Lato"/>
          <w:color w:val="333333"/>
          <w:sz w:val="22"/>
          <w:szCs w:val="22"/>
        </w:rPr>
        <w:t xml:space="preserve">AI server nodes and GPU clusters require precise integration of compute boards, power distribution units, cooling systems, cable assemblies, and management firmware. GPW integrates these subsystems into rack-ready configurations, loading BMC firmware and running system validation under thermal load. The same-timezone advantage matters here — when a hyperscaler changes a board revision mid-production, GPW’s engineering team coordinates the firmware update in real time.</w:t>
      </w:r>
    </w:p>
    <w:p>
      <w:pPr>
        <w:pStyle w:val="ListParagraph"/>
        <w:numPr>
          <w:ilvl w:val="0"/>
          <w:numId w:val="2"/>
        </w:numPr>
        <w:spacing w:after="80"/>
      </w:pPr>
      <w:r>
        <w:rPr>
          <w:rFonts w:ascii="Lato" w:cs="Lato" w:eastAsia="Lato" w:hAnsi="Lato"/>
          <w:b/>
          <w:bCs/>
          <w:color w:val="23555A"/>
          <w:sz w:val="22"/>
          <w:szCs w:val="22"/>
        </w:rPr>
        <w:t xml:space="preserve">Industrial Equipment: </w:t>
      </w:r>
      <w:r>
        <w:rPr>
          <w:rFonts w:ascii="Lato" w:cs="Lato" w:eastAsia="Lato" w:hAnsi="Lato"/>
          <w:color w:val="333333"/>
          <w:sz w:val="22"/>
          <w:szCs w:val="22"/>
        </w:rPr>
        <w:t xml:space="preserve">Production control units, motor drive assemblies, and automation controllers combine mechanical frames with multiple PCBAs, sensor packages, and programmable logic. GPW integrates these systems with full cable routing, firmware deployment, and functional testing that validates inter-subsystem communication under operating conditions.</w:t>
      </w:r>
    </w:p>
    <w:p>
      <w:pPr>
        <w:pStyle w:val="ListParagraph"/>
        <w:numPr>
          <w:ilvl w:val="0"/>
          <w:numId w:val="2"/>
        </w:numPr>
        <w:spacing w:after="80"/>
      </w:pPr>
      <w:r>
        <w:rPr>
          <w:rFonts w:ascii="Lato" w:cs="Lato" w:eastAsia="Lato" w:hAnsi="Lato"/>
          <w:b/>
          <w:bCs/>
          <w:color w:val="23555A"/>
          <w:sz w:val="22"/>
          <w:szCs w:val="22"/>
        </w:rPr>
        <w:t xml:space="preserve">Energy: </w:t>
      </w:r>
      <w:r>
        <w:rPr>
          <w:rFonts w:ascii="Lato" w:cs="Lato" w:eastAsia="Lato" w:hAnsi="Lato"/>
          <w:color w:val="333333"/>
          <w:sz w:val="22"/>
          <w:szCs w:val="22"/>
        </w:rPr>
        <w:t xml:space="preserve">Power management cabinets, monitoring systems, and control panels require integration of high-power electrical components with sensitive control electronics. GPW manages the mechanical assembly, electrical interconnection, and Hi-Pot testing required for safety compliance — routing high-voltage and low-voltage subsystems on documented, validated paths.</w:t>
      </w:r>
    </w:p>
    <w:p>
      <w:pPr>
        <w:pStyle w:val="ListParagraph"/>
        <w:numPr>
          <w:ilvl w:val="0"/>
          <w:numId w:val="2"/>
        </w:numPr>
        <w:spacing w:after="80"/>
      </w:pPr>
      <w:r>
        <w:rPr>
          <w:rFonts w:ascii="Lato" w:cs="Lato" w:eastAsia="Lato" w:hAnsi="Lato"/>
          <w:b/>
          <w:bCs/>
          <w:color w:val="23555A"/>
          <w:sz w:val="22"/>
          <w:szCs w:val="22"/>
        </w:rPr>
        <w:t xml:space="preserve">Aerospace Sub-Assemblies: </w:t>
      </w:r>
      <w:r>
        <w:rPr>
          <w:rFonts w:ascii="Lato" w:cs="Lato" w:eastAsia="Lato" w:hAnsi="Lato"/>
          <w:color w:val="333333"/>
          <w:sz w:val="22"/>
          <w:szCs w:val="22"/>
        </w:rPr>
        <w:t xml:space="preserve">Avionics sub-systems and mission-critical control units demand full traceability and documented integration processes. GPW provides serialized build records, AS9100-aligned procedures, and system-level testing with complete audit trails — from individual component lot numbers through final system validation.</w:t>
      </w:r>
    </w:p>
    <w:p>
      <w:pPr>
        <w:spacing w:after="160"/>
      </w:pPr>
      <w:r>
        <w:rPr>
          <w:rFonts w:ascii="Lato" w:cs="Lato" w:eastAsia="Lato" w:hAnsi="Lato"/>
          <w:color w:val="333333"/>
          <w:sz w:val="22"/>
          <w:szCs w:val="22"/>
        </w:rPr>
        <w:t xml:space="preserve">GPW also supports system integration for Telecommunications (cabinet-level integration with network management firmware), Medical Devices (controlled integration environments with FDA-aligned documentation), Automotive (sub-assembly integration with PPAP documentation and IATF-aligned processes), and Appliances (consumer-facing product integration with cosmetic quality standards). The same integration methodology applies across all verticals — the compliance requirements and test protocols adjust to each industry’s standards.</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5: Capabilities and Specifications</w:t>
      </w:r>
    </w:p>
    <w:p>
      <w:pPr>
        <w:spacing w:after="160"/>
      </w:pPr>
      <w:r>
        <w:rPr>
          <w:rFonts w:ascii="Lato" w:cs="Lato" w:eastAsia="Lato" w:hAnsi="Lato"/>
          <w:b/>
          <w:bCs/>
          <w:color w:val="23555A"/>
          <w:sz w:val="22"/>
          <w:szCs w:val="22"/>
        </w:rPr>
        <w:t xml:space="preserve">Integration scope:</w:t>
      </w:r>
    </w:p>
    <w:p>
      <w:pPr>
        <w:pStyle w:val="ListParagraph"/>
        <w:numPr>
          <w:ilvl w:val="0"/>
          <w:numId w:val="2"/>
        </w:numPr>
        <w:spacing w:after="80"/>
      </w:pPr>
      <w:r>
        <w:rPr>
          <w:rFonts w:ascii="Lato" w:cs="Lato" w:eastAsia="Lato" w:hAnsi="Lato"/>
          <w:color w:val="333333"/>
          <w:sz w:val="22"/>
          <w:szCs w:val="22"/>
        </w:rPr>
        <w:t xml:space="preserve">Products ranging from 3 to 20+ subsystems per unit</w:t>
      </w:r>
    </w:p>
    <w:p>
      <w:pPr>
        <w:pStyle w:val="ListParagraph"/>
        <w:numPr>
          <w:ilvl w:val="0"/>
          <w:numId w:val="2"/>
        </w:numPr>
        <w:spacing w:after="80"/>
      </w:pPr>
      <w:r>
        <w:rPr>
          <w:rFonts w:ascii="Lato" w:cs="Lato" w:eastAsia="Lato" w:hAnsi="Lato"/>
          <w:color w:val="333333"/>
          <w:sz w:val="22"/>
          <w:szCs w:val="22"/>
        </w:rPr>
        <w:t xml:space="preserve">Multi-board systems with up to 12 PCBAs per assembly</w:t>
      </w:r>
    </w:p>
    <w:p>
      <w:pPr>
        <w:pStyle w:val="ListParagraph"/>
        <w:numPr>
          <w:ilvl w:val="0"/>
          <w:numId w:val="2"/>
        </w:numPr>
        <w:spacing w:after="80"/>
      </w:pPr>
      <w:r>
        <w:rPr>
          <w:rFonts w:ascii="Lato" w:cs="Lato" w:eastAsia="Lato" w:hAnsi="Lato"/>
          <w:color w:val="333333"/>
          <w:sz w:val="22"/>
          <w:szCs w:val="22"/>
        </w:rPr>
        <w:t xml:space="preserve">Cable assemblies from AWG 30 signal wiring to AWG 4 power distribution</w:t>
      </w:r>
    </w:p>
    <w:p>
      <w:pPr>
        <w:pStyle w:val="ListParagraph"/>
        <w:numPr>
          <w:ilvl w:val="0"/>
          <w:numId w:val="2"/>
        </w:numPr>
        <w:spacing w:after="80"/>
      </w:pPr>
      <w:r>
        <w:rPr>
          <w:rFonts w:ascii="Lato" w:cs="Lato" w:eastAsia="Lato" w:hAnsi="Lato"/>
          <w:color w:val="333333"/>
          <w:sz w:val="22"/>
          <w:szCs w:val="22"/>
        </w:rPr>
        <w:t xml:space="preserve">Firmware loading across multiple controller architectures (ARM, x86, FPGA configuration)</w:t>
      </w:r>
    </w:p>
    <w:p>
      <w:pPr>
        <w:pStyle w:val="ListParagraph"/>
        <w:numPr>
          <w:ilvl w:val="0"/>
          <w:numId w:val="2"/>
        </w:numPr>
        <w:spacing w:after="80"/>
      </w:pPr>
      <w:r>
        <w:rPr>
          <w:rFonts w:ascii="Lato" w:cs="Lato" w:eastAsia="Lato" w:hAnsi="Lato"/>
          <w:color w:val="333333"/>
          <w:sz w:val="22"/>
          <w:szCs w:val="22"/>
        </w:rPr>
        <w:t xml:space="preserve">System-level test protocols with 20 to 100+ test points per unit</w:t>
      </w:r>
    </w:p>
    <w:p>
      <w:pPr>
        <w:spacing w:after="160"/>
      </w:pPr>
      <w:r>
        <w:rPr>
          <w:rFonts w:ascii="Lato" w:cs="Lato" w:eastAsia="Lato" w:hAnsi="Lato"/>
          <w:b/>
          <w:bCs/>
          <w:color w:val="23555A"/>
          <w:sz w:val="22"/>
          <w:szCs w:val="22"/>
        </w:rPr>
        <w:t xml:space="preserve">Quality and documentation:</w:t>
      </w:r>
    </w:p>
    <w:p>
      <w:pPr>
        <w:pStyle w:val="ListParagraph"/>
        <w:numPr>
          <w:ilvl w:val="0"/>
          <w:numId w:val="2"/>
        </w:numPr>
        <w:spacing w:after="80"/>
      </w:pPr>
      <w:r>
        <w:rPr>
          <w:rFonts w:ascii="Lato" w:cs="Lato" w:eastAsia="Lato" w:hAnsi="Lato"/>
          <w:color w:val="333333"/>
          <w:sz w:val="22"/>
          <w:szCs w:val="22"/>
        </w:rPr>
        <w:t xml:space="preserve">IPC-A-610 and IPC-A-620 workmanship standards (certifications in progress)</w:t>
      </w:r>
    </w:p>
    <w:p>
      <w:pPr>
        <w:pStyle w:val="ListParagraph"/>
        <w:numPr>
          <w:ilvl w:val="0"/>
          <w:numId w:val="2"/>
        </w:numPr>
        <w:spacing w:after="80"/>
      </w:pPr>
      <w:r>
        <w:rPr>
          <w:rFonts w:ascii="Lato" w:cs="Lato" w:eastAsia="Lato" w:hAnsi="Lato"/>
          <w:color w:val="333333"/>
          <w:sz w:val="22"/>
          <w:szCs w:val="22"/>
        </w:rPr>
        <w:t xml:space="preserve">Serialized build records with full component traceability</w:t>
      </w:r>
    </w:p>
    <w:p>
      <w:pPr>
        <w:pStyle w:val="ListParagraph"/>
        <w:numPr>
          <w:ilvl w:val="0"/>
          <w:numId w:val="2"/>
        </w:numPr>
        <w:spacing w:after="80"/>
      </w:pPr>
      <w:r>
        <w:rPr>
          <w:rFonts w:ascii="Lato" w:cs="Lato" w:eastAsia="Lato" w:hAnsi="Lato"/>
          <w:color w:val="333333"/>
          <w:sz w:val="22"/>
          <w:szCs w:val="22"/>
        </w:rPr>
        <w:t xml:space="preserve">Integration-specific quality gates at each subsystem handoff</w:t>
      </w:r>
    </w:p>
    <w:p>
      <w:pPr>
        <w:pStyle w:val="ListParagraph"/>
        <w:numPr>
          <w:ilvl w:val="0"/>
          <w:numId w:val="2"/>
        </w:numPr>
        <w:spacing w:after="80"/>
      </w:pPr>
      <w:r>
        <w:rPr>
          <w:rFonts w:ascii="Lato" w:cs="Lato" w:eastAsia="Lato" w:hAnsi="Lato"/>
          <w:color w:val="333333"/>
          <w:sz w:val="22"/>
          <w:szCs w:val="22"/>
        </w:rPr>
        <w:t xml:space="preserve">Documented test results archived per unit serial number</w:t>
      </w:r>
    </w:p>
    <w:p>
      <w:pPr>
        <w:pStyle w:val="ListParagraph"/>
        <w:numPr>
          <w:ilvl w:val="0"/>
          <w:numId w:val="2"/>
        </w:numPr>
        <w:spacing w:after="80"/>
      </w:pPr>
      <w:r>
        <w:rPr>
          <w:rFonts w:ascii="Lato" w:cs="Lato" w:eastAsia="Lato" w:hAnsi="Lato"/>
          <w:color w:val="333333"/>
          <w:sz w:val="22"/>
          <w:szCs w:val="22"/>
        </w:rPr>
        <w:t xml:space="preserve">ISO 9001 certification in progress; industry-specific certifications (AS9100, IATF 16949) pursued per program requirements</w:t>
      </w:r>
    </w:p>
    <w:p>
      <w:pPr>
        <w:spacing w:after="160"/>
      </w:pPr>
      <w:r>
        <w:rPr>
          <w:rFonts w:ascii="Lato" w:cs="Lato" w:eastAsia="Lato" w:hAnsi="Lato"/>
          <w:b/>
          <w:bCs/>
          <w:color w:val="23555A"/>
          <w:sz w:val="22"/>
          <w:szCs w:val="22"/>
        </w:rPr>
        <w:t xml:space="preserve">Procurement flexibility:</w:t>
      </w:r>
    </w:p>
    <w:p>
      <w:pPr>
        <w:pStyle w:val="ListParagraph"/>
        <w:numPr>
          <w:ilvl w:val="0"/>
          <w:numId w:val="2"/>
        </w:numPr>
        <w:spacing w:after="80"/>
      </w:pPr>
      <w:r>
        <w:rPr>
          <w:rFonts w:ascii="Lato" w:cs="Lato" w:eastAsia="Lato" w:hAnsi="Lato"/>
          <w:color w:val="333333"/>
          <w:sz w:val="22"/>
          <w:szCs w:val="22"/>
        </w:rPr>
        <w:t xml:space="preserve">GPW-sourced components through established supplier network</w:t>
      </w:r>
    </w:p>
    <w:p>
      <w:pPr>
        <w:pStyle w:val="ListParagraph"/>
        <w:numPr>
          <w:ilvl w:val="0"/>
          <w:numId w:val="2"/>
        </w:numPr>
        <w:spacing w:after="80"/>
      </w:pPr>
      <w:r>
        <w:rPr>
          <w:rFonts w:ascii="Lato" w:cs="Lato" w:eastAsia="Lato" w:hAnsi="Lato"/>
          <w:color w:val="333333"/>
          <w:sz w:val="22"/>
          <w:szCs w:val="22"/>
        </w:rPr>
        <w:t xml:space="preserve">Customer-directed procurement through approved vendor lists</w:t>
      </w:r>
    </w:p>
    <w:p>
      <w:pPr>
        <w:pStyle w:val="ListParagraph"/>
        <w:numPr>
          <w:ilvl w:val="0"/>
          <w:numId w:val="2"/>
        </w:numPr>
        <w:spacing w:after="80"/>
      </w:pPr>
      <w:r>
        <w:rPr>
          <w:rFonts w:ascii="Lato" w:cs="Lato" w:eastAsia="Lato" w:hAnsi="Lato"/>
          <w:color w:val="333333"/>
          <w:sz w:val="22"/>
          <w:szCs w:val="22"/>
        </w:rPr>
        <w:t xml:space="preserve">Customer-furnished materials with incoming inspection</w:t>
      </w:r>
    </w:p>
    <w:p>
      <w:pPr>
        <w:pStyle w:val="ListParagraph"/>
        <w:numPr>
          <w:ilvl w:val="0"/>
          <w:numId w:val="2"/>
        </w:numPr>
        <w:spacing w:after="80"/>
      </w:pPr>
      <w:r>
        <w:rPr>
          <w:rFonts w:ascii="Lato" w:cs="Lato" w:eastAsia="Lato" w:hAnsi="Lato"/>
          <w:color w:val="333333"/>
          <w:sz w:val="22"/>
          <w:szCs w:val="22"/>
        </w:rPr>
        <w:t xml:space="preserve">Hybrid models combining all three approaches per BOM line item</w:t>
      </w:r>
    </w:p>
    <w:p>
      <w:pPr>
        <w:spacing w:after="120" w:before="240"/>
      </w:pPr>
      <w:r>
        <w:rPr>
          <w:rFonts w:ascii="Trirong" w:cs="Trirong" w:eastAsia="Trirong" w:hAnsi="Trirong"/>
          <w:b/>
          <w:bCs/>
          <w:color w:val="23555A"/>
          <w:sz w:val="24"/>
          <w:szCs w:val="24"/>
        </w:rPr>
        <w:t xml:space="preserve">GPW vs. Typical EMS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E0E0E0" w:sz="1"/>
              <w:left w:val="single" w:color="E0E0E0" w:sz="1"/>
              <w:bottom w:val="single" w:color="E0E0E0" w:sz="1"/>
              <w:right w:val="single" w:color="E0E0E0" w:sz="1"/>
            </w:tcBorders>
            <w:shd w:fill="23555A" w:val="clear"/>
            <w:tcMar>
              <w:top w:type="dxa" w:w="80"/>
              <w:left w:type="dxa" w:w="100"/>
              <w:bottom w:type="dxa" w:w="80"/>
              <w:right w:type="dxa" w:w="100"/>
            </w:tcMar>
          </w:tcPr>
          <w:p>
            <w:r>
              <w:rPr>
                <w:rFonts w:ascii="Lato" w:cs="Lato" w:eastAsia="Lato" w:hAnsi="Lato"/>
                <w:b/>
                <w:bCs/>
                <w:color w:val="FFFFFF"/>
                <w:sz w:val="20"/>
                <w:szCs w:val="20"/>
              </w:rPr>
              <w:t xml:space="preserve">Aspect</w:t>
            </w:r>
          </w:p>
        </w:tc>
        <w:tc>
          <w:tcPr>
            <w:tcW w:type="dxa" w:w="3120"/>
            <w:tcBorders>
              <w:top w:val="single" w:color="E0E0E0" w:sz="1"/>
              <w:left w:val="single" w:color="E0E0E0" w:sz="1"/>
              <w:bottom w:val="single" w:color="E0E0E0" w:sz="1"/>
              <w:right w:val="single" w:color="E0E0E0" w:sz="1"/>
            </w:tcBorders>
            <w:shd w:fill="23555A" w:val="clear"/>
            <w:tcMar>
              <w:top w:type="dxa" w:w="80"/>
              <w:left w:type="dxa" w:w="100"/>
              <w:bottom w:type="dxa" w:w="80"/>
              <w:right w:type="dxa" w:w="100"/>
            </w:tcMar>
          </w:tcPr>
          <w:p>
            <w:r>
              <w:rPr>
                <w:rFonts w:ascii="Lato" w:cs="Lato" w:eastAsia="Lato" w:hAnsi="Lato"/>
                <w:b/>
                <w:bCs/>
                <w:color w:val="FFFFFF"/>
                <w:sz w:val="20"/>
                <w:szCs w:val="20"/>
              </w:rPr>
              <w:t xml:space="preserve">GPW (Assembly-First)</w:t>
            </w:r>
          </w:p>
        </w:tc>
        <w:tc>
          <w:tcPr>
            <w:tcW w:type="dxa" w:w="3120"/>
            <w:tcBorders>
              <w:top w:val="single" w:color="E0E0E0" w:sz="1"/>
              <w:left w:val="single" w:color="E0E0E0" w:sz="1"/>
              <w:bottom w:val="single" w:color="E0E0E0" w:sz="1"/>
              <w:right w:val="single" w:color="E0E0E0" w:sz="1"/>
            </w:tcBorders>
            <w:shd w:fill="23555A" w:val="clear"/>
            <w:tcMar>
              <w:top w:type="dxa" w:w="80"/>
              <w:left w:type="dxa" w:w="100"/>
              <w:bottom w:type="dxa" w:w="80"/>
              <w:right w:type="dxa" w:w="100"/>
            </w:tcMar>
          </w:tcPr>
          <w:p>
            <w:r>
              <w:rPr>
                <w:rFonts w:ascii="Lato" w:cs="Lato" w:eastAsia="Lato" w:hAnsi="Lato"/>
                <w:b/>
                <w:bCs/>
                <w:color w:val="FFFFFF"/>
                <w:sz w:val="20"/>
                <w:szCs w:val="20"/>
              </w:rPr>
              <w:t xml:space="preserve">Typical PCBA-Centric EMS</w:t>
            </w:r>
          </w:p>
        </w:tc>
      </w:tr>
      <w:tr>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bCs/>
                <w:color w:val="23555A"/>
                <w:sz w:val="20"/>
                <w:szCs w:val="20"/>
              </w:rPr>
              <w:t xml:space="preserve">Integration planning</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Dedicated Integration Plan per product</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Generic assembly work instructions</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bCs/>
                <w:color w:val="23555A"/>
                <w:sz w:val="20"/>
                <w:szCs w:val="20"/>
              </w:rPr>
              <w:t xml:space="preserve">Firmware management</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Version-controlled repository with per-unit deployment records</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Manual firmware loading, limited version tracking</w:t>
            </w:r>
          </w:p>
        </w:tc>
      </w:tr>
      <w:tr>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bCs/>
                <w:color w:val="23555A"/>
                <w:sz w:val="20"/>
                <w:szCs w:val="20"/>
              </w:rPr>
              <w:t xml:space="preserve">Testing scope</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System-level validation across all subsystems</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Component-level testing only; system test by customer</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bCs/>
                <w:color w:val="23555A"/>
                <w:sz w:val="20"/>
                <w:szCs w:val="20"/>
              </w:rPr>
              <w:t xml:space="preserve">Engineering focus</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Full-time integration engineers assigned to your program</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Shared engineers across SMT lines and assembly</w:t>
            </w:r>
          </w:p>
        </w:tc>
      </w:tr>
      <w:tr>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bCs/>
                <w:color w:val="23555A"/>
                <w:sz w:val="20"/>
                <w:szCs w:val="20"/>
              </w:rPr>
              <w:t xml:space="preserve">Subsystem coordination</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Staged mechanical-electrical build sequence</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Sequential: build mechanical, then wire, then test</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bCs/>
                <w:color w:val="23555A"/>
                <w:sz w:val="20"/>
                <w:szCs w:val="20"/>
              </w:rPr>
              <w:t xml:space="preserve">Failure analysis</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System-level root cause analysis across subsystems</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Component-level troubleshooting; integration issues returned to customer</w:t>
            </w:r>
          </w:p>
        </w:tc>
      </w:tr>
    </w:tbl>
    <w:p>
      <w:pPr>
        <w:spacing w:after="160"/>
      </w:pPr>
      <w:r>
        <w:rPr>
          <w:rFonts w:ascii="Lato" w:cs="Lato" w:eastAsia="Lato" w:hAnsi="Lato"/>
          <w:color w:val="333333"/>
          <w:sz w:val="22"/>
          <w:szCs w:val="22"/>
        </w:rPr>
        <w:t xml:space="preserve">The difference comes down to design intent. A PCBA-centric provider treats integration as an add-on to its board fabrication business — the final step before shipping. GPW treats integration as the core discipline. The engineering team, production floor layout, and quality systems are organized around building complete products, not individual boards.</w:t>
      </w:r>
    </w:p>
    <w:p>
      <w:pPr>
        <w:spacing w:after="160"/>
      </w:pPr>
      <w:r>
        <w:rPr>
          <w:rFonts w:ascii="Lato" w:cs="Lato" w:eastAsia="Lato" w:hAnsi="Lato"/>
          <w:color w:val="333333"/>
          <w:sz w:val="22"/>
          <w:szCs w:val="22"/>
        </w:rPr>
        <w:t xml:space="preserve">This means your integration program gets dedicated engineering attention from the first requirements review through production ramp. The team that plans your integration sequence is the same team that builds and tests your product — no handoffs between departments, no translation between board-level and system-level quality standards. When an issue surfaces at system test, the same engineers who designed the integration sequence analyze the failure, trace it to the root cause, and implement the corrective action — all within the same facility, on the same shift.</w:t>
      </w:r>
    </w:p>
    <w:p>
      <w:pPr>
        <w:spacing w:after="160"/>
      </w:pPr>
      <w:r>
        <w:rPr>
          <w:rFonts w:ascii="Lato" w:cs="Lato" w:eastAsia="Lato" w:hAnsi="Lato"/>
          <w:color w:val="333333"/>
          <w:sz w:val="22"/>
          <w:szCs w:val="22"/>
        </w:rPr>
        <w:t xml:space="preserve">System integration programs at GPW draw on the full multi-vertical expertise of the facility. Cable and wire harness assemblies built to IPC-A-620 standards feed directly into the integration line. End-of-line testing and inspection follows protocols engineered for the specific product — not adapted from a generic test library. Enclosure and cabinet assembly provides the mechanical structures that house integrated subsystems. Every supporting service operates under the same roof, the same quality system, and the same program management — giving your product a seamless path from BOM to finished system.</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6: Frequently Asked Questions</w:t>
      </w:r>
    </w:p>
    <w:p>
      <w:pPr>
        <w:spacing w:after="160"/>
      </w:pPr>
      <w:r>
        <w:rPr>
          <w:rFonts w:ascii="Lato" w:cs="Lato" w:eastAsia="Lato" w:hAnsi="Lato"/>
          <w:b/>
          <w:bCs/>
          <w:color w:val="2A4E64"/>
          <w:sz w:val="22"/>
          <w:szCs w:val="22"/>
        </w:rPr>
        <w:t xml:space="preserve">What is system integration in contract manufacturing?</w:t>
      </w:r>
    </w:p>
    <w:p>
      <w:pPr>
        <w:spacing w:after="160"/>
      </w:pPr>
      <w:r>
        <w:rPr>
          <w:rFonts w:ascii="Lato" w:cs="Lato" w:eastAsia="Lato" w:hAnsi="Lato"/>
          <w:color w:val="333333"/>
          <w:sz w:val="22"/>
          <w:szCs w:val="22"/>
        </w:rPr>
        <w:t xml:space="preserve">System integration combines multiple mechanical, electrical, and electromechanical subsystems into a finished product. It includes structural assembly, component integration, cable routing, firmware loading, and system-level testing. GPW manages the full scope from NPI through production under one quality system in Monterrey.</w:t>
      </w:r>
    </w:p>
    <w:p>
      <w:pPr>
        <w:spacing w:after="160"/>
      </w:pPr>
      <w:r>
        <w:rPr>
          <w:rFonts w:ascii="Lato" w:cs="Lato" w:eastAsia="Lato" w:hAnsi="Lato"/>
          <w:b/>
          <w:bCs/>
          <w:color w:val="2A4E64"/>
          <w:sz w:val="22"/>
          <w:szCs w:val="22"/>
        </w:rPr>
        <w:t xml:space="preserve">How is system integration different from box build assembly?</w:t>
      </w:r>
    </w:p>
    <w:p>
      <w:pPr>
        <w:spacing w:after="160"/>
      </w:pPr>
      <w:r>
        <w:rPr>
          <w:rFonts w:ascii="Lato" w:cs="Lato" w:eastAsia="Lato" w:hAnsi="Lato"/>
          <w:color w:val="333333"/>
          <w:sz w:val="22"/>
          <w:szCs w:val="22"/>
        </w:rPr>
        <w:t xml:space="preserve">Box build assembles components into an enclosure. System integration goes further — it addresses subsystem interactions, firmware dependencies, and system-level validation. A box build puts boards in a chassis. System integration ensures those boards communicate, the firmware matches the hardware revision, and the complete system performs under load.</w:t>
      </w:r>
    </w:p>
    <w:p>
      <w:pPr>
        <w:spacing w:after="160"/>
      </w:pPr>
      <w:r>
        <w:rPr>
          <w:rFonts w:ascii="Lato" w:cs="Lato" w:eastAsia="Lato" w:hAnsi="Lato"/>
          <w:b/>
          <w:bCs/>
          <w:color w:val="2A4E64"/>
          <w:sz w:val="22"/>
          <w:szCs w:val="22"/>
        </w:rPr>
        <w:t xml:space="preserve">Does GPW offer firmware loading and configuration?</w:t>
      </w:r>
    </w:p>
    <w:p>
      <w:pPr>
        <w:spacing w:after="160"/>
      </w:pPr>
      <w:r>
        <w:rPr>
          <w:rFonts w:ascii="Lato" w:cs="Lato" w:eastAsia="Lato" w:hAnsi="Lato"/>
          <w:color w:val="333333"/>
          <w:sz w:val="22"/>
          <w:szCs w:val="22"/>
        </w:rPr>
        <w:t xml:space="preserve">Yes. GPW maintains version-controlled firmware repositories for each program. The loading protocol specifies which image goes on which board, the correct sequence, post-load verification, and configuration parameters. Serialized deployment — unique configuration per unit serial number — is available for programs that require it.</w:t>
      </w:r>
    </w:p>
    <w:p>
      <w:pPr>
        <w:spacing w:after="160"/>
      </w:pPr>
      <w:r>
        <w:rPr>
          <w:rFonts w:ascii="Lato" w:cs="Lato" w:eastAsia="Lato" w:hAnsi="Lato"/>
          <w:b/>
          <w:bCs/>
          <w:color w:val="2A4E64"/>
          <w:sz w:val="22"/>
          <w:szCs w:val="22"/>
        </w:rPr>
        <w:t xml:space="preserve">How long does system integration NPI take?</w:t>
      </w:r>
    </w:p>
    <w:p>
      <w:pPr>
        <w:spacing w:after="160"/>
      </w:pPr>
      <w:r>
        <w:rPr>
          <w:rFonts w:ascii="Lato" w:cs="Lato" w:eastAsia="Lato" w:hAnsi="Lato"/>
          <w:color w:val="333333"/>
          <w:sz w:val="22"/>
          <w:szCs w:val="22"/>
        </w:rPr>
        <w:t xml:space="preserve">Typical NPI for system integration programs runs 4-8 weeks from approved Integration Plan to first article completion. Complex programs with 10+ subsystems or custom test development may require additional time. GPW provides a detailed NPI timeline during the quoting process.</w:t>
      </w:r>
    </w:p>
    <w:p>
      <w:pPr>
        <w:spacing w:after="160"/>
      </w:pPr>
      <w:r>
        <w:rPr>
          <w:rFonts w:ascii="Lato" w:cs="Lato" w:eastAsia="Lato" w:hAnsi="Lato"/>
          <w:b/>
          <w:bCs/>
          <w:color w:val="2A4E64"/>
          <w:sz w:val="22"/>
          <w:szCs w:val="22"/>
        </w:rPr>
        <w:t xml:space="preserve">What is included in a system integration quote?</w:t>
      </w:r>
    </w:p>
    <w:p>
      <w:pPr>
        <w:spacing w:after="160"/>
      </w:pPr>
      <w:r>
        <w:rPr>
          <w:rFonts w:ascii="Lato" w:cs="Lato" w:eastAsia="Lato" w:hAnsi="Lato"/>
          <w:color w:val="333333"/>
          <w:sz w:val="22"/>
          <w:szCs w:val="22"/>
        </w:rPr>
        <w:t xml:space="preserve">A quote covers integration planning, mechanical and electrical assembly, firmware loading, system-level testing, documentation, and packaging. Component procurement is quoted separately based on the sourcing model — GPW-sourced, customer-directed, or customer-furnished. Submit your drawings, BOM, and test requirements to request a quote.</w:t>
      </w:r>
    </w:p>
    <w:p>
      <w:pPr>
        <w:spacing w:after="160"/>
      </w:pPr>
      <w:r>
        <w:rPr>
          <w:rFonts w:ascii="Lato" w:cs="Lato" w:eastAsia="Lato" w:hAnsi="Lato"/>
          <w:b/>
          <w:bCs/>
          <w:color w:val="2A4E64"/>
          <w:sz w:val="22"/>
          <w:szCs w:val="22"/>
        </w:rPr>
        <w:t xml:space="preserve">What certifications apply to system integration?</w:t>
      </w:r>
    </w:p>
    <w:p>
      <w:pPr>
        <w:spacing w:after="160"/>
      </w:pPr>
      <w:r>
        <w:rPr>
          <w:rFonts w:ascii="Lato" w:cs="Lato" w:eastAsia="Lato" w:hAnsi="Lato"/>
          <w:color w:val="333333"/>
          <w:sz w:val="22"/>
          <w:szCs w:val="22"/>
        </w:rPr>
        <w:t xml:space="preserve">GPW is pursuing IPC-A-610 (electronic assembly), IPC-A-620 (cable and wire harness), and ISO 9001 certifications. All integration processes already follow these workmanship standards. Industry-specific certifications — AS9100 for aerospace, IATF 16949 for automotive — are pursued as customer programs require.</w:t>
      </w:r>
    </w:p>
    <w:p>
      <w:pPr>
        <w:spacing w:after="160"/>
      </w:pPr>
      <w:r>
        <w:rPr>
          <w:rFonts w:ascii="Lato" w:cs="Lato" w:eastAsia="Lato" w:hAnsi="Lato"/>
          <w:b/>
          <w:bCs/>
          <w:color w:val="2A4E64"/>
          <w:sz w:val="22"/>
          <w:szCs w:val="22"/>
        </w:rPr>
        <w:t xml:space="preserve">Can GPW handle low-volume and high-volume integration programs?</w:t>
      </w:r>
    </w:p>
    <w:p>
      <w:pPr>
        <w:spacing w:after="160"/>
      </w:pPr>
      <w:r>
        <w:rPr>
          <w:rFonts w:ascii="Lato" w:cs="Lato" w:eastAsia="Lato" w:hAnsi="Lato"/>
          <w:color w:val="333333"/>
          <w:sz w:val="22"/>
          <w:szCs w:val="22"/>
        </w:rPr>
        <w:t xml:space="preserve">GPW supports integration programs from prototype quantities through sustained production runs. The production floor accommodates dedicated integration lines that scale with your program volume. Whether you need 10 units for qualification or 500 units per month for production, the same quality system and integration methodology apply.</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7: Start Your System Integration Program</w:t>
      </w:r>
    </w:p>
    <w:p>
      <w:pPr>
        <w:spacing w:after="160"/>
      </w:pPr>
      <w:r>
        <w:rPr>
          <w:rFonts w:ascii="Lato" w:cs="Lato" w:eastAsia="Lato" w:hAnsi="Lato"/>
          <w:color w:val="333333"/>
          <w:sz w:val="22"/>
          <w:szCs w:val="22"/>
        </w:rPr>
        <w:t xml:space="preserve">System integration requires detailed planning — and that planning starts with your technical package. Submit your mechanical drawings, electrical schematics, BOM, firmware specifications, and test requirements. GPW’s engineering team reviews every program and responds within 2 business days with an Integration Plan outline and preliminary timeline.</w:t>
      </w:r>
    </w:p>
    <w:p>
      <w:pPr>
        <w:spacing w:after="160"/>
        <w:rPr>
          <w:i/>
          <w:iCs/>
          <w:color w:val="2A4E64"/>
        </w:rPr>
      </w:pPr>
      <w:r>
        <w:rPr>
          <w:rFonts w:ascii="Lato" w:cs="Lato" w:eastAsia="Lato" w:hAnsi="Lato"/>
          <w:i/>
          <w:iCs/>
          <w:color w:val="2A4E64"/>
          <w:sz w:val="22"/>
          <w:szCs w:val="22"/>
        </w:rPr>
        <w:t xml:space="preserve">No minimum order quantities. Programs from prototype through production volume. Engineered for your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 →</w:t>
            </w:r>
          </w:p>
        </w:tc>
      </w:tr>
    </w:tbl>
    <w:p>
      <w:pPr>
        <w:spacing w:before="160"/>
      </w:pPr>
    </w:p>
    <w:p>
      <w:pPr>
        <w:spacing w:after="160"/>
        <w:rPr>
          <w:i/>
          <w:iCs/>
          <w:color w:val="2A4E64"/>
        </w:rPr>
      </w:pPr>
      <w:r>
        <w:rPr>
          <w:rFonts w:ascii="Lato" w:cs="Lato" w:eastAsia="Lato" w:hAnsi="Lato"/>
          <w:i/>
          <w:iCs/>
          <w:color w:val="2A4E64"/>
          <w:sz w:val="22"/>
          <w:szCs w:val="22"/>
        </w:rPr>
        <w:t xml:space="preserve">Not ready for a full quote? Explore GPW’s other assembly services to see how each capability supports your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3555A" w:val="clear"/>
            <w:tcMar>
              <w:top w:type="dxa" w:w="160"/>
              <w:left w:type="dxa" w:w="200"/>
              <w:bottom w:type="dxa" w:w="160"/>
              <w:right w:type="dxa" w:w="200"/>
            </w:tcMar>
          </w:tcPr>
          <w:p>
            <w:pPr>
              <w:jc w:val="center"/>
            </w:pPr>
            <w:r>
              <w:rPr>
                <w:rFonts w:ascii="Lato" w:cs="Lato" w:eastAsia="Lato" w:hAnsi="Lato"/>
                <w:b/>
                <w:bCs/>
                <w:color w:val="FFFFFF"/>
                <w:sz w:val="24"/>
                <w:szCs w:val="24"/>
              </w:rPr>
              <w:t xml:space="preserve">Explore Box Build Assembly →</w:t>
            </w:r>
          </w:p>
        </w:tc>
      </w:tr>
    </w:tbl>
    <w:p>
      <w:pPr>
        <w:spacing w:before="300"/>
      </w:pPr>
    </w:p>
    <w:p>
      <w:pPr>
        <w:spacing w:after="160"/>
      </w:pPr>
      <w:r>
        <w:rPr>
          <w:rFonts w:ascii="Lato" w:cs="Lato" w:eastAsia="Lato" w:hAnsi="Lato"/>
          <w:b/>
          <w:bCs/>
          <w:color w:val="23555A"/>
          <w:sz w:val="22"/>
          <w:szCs w:val="22"/>
        </w:rPr>
        <w:t xml:space="preserve">Contact: </w:t>
      </w:r>
      <w:r>
        <w:rPr>
          <w:rFonts w:ascii="Lato" w:cs="Lato" w:eastAsia="Lato" w:hAnsi="Lato"/>
          <w:color w:val="333333"/>
          <w:sz w:val="22"/>
          <w:szCs w:val="22"/>
        </w:rPr>
        <w:t xml:space="preserve">rfq@gpw-solutions.com  |  +52 (81) XXXX-XXXX  |  Monterrey, Nuevo León, Mexico</w:t>
      </w:r>
    </w:p>
    <w:p>
      <w:pPr>
        <w:spacing w:after="160"/>
        <w:rPr>
          <w:i/>
          <w:iCs/>
        </w:rPr>
      </w:pPr>
      <w:r>
        <w:rPr>
          <w:rFonts w:ascii="Lato" w:cs="Lato" w:eastAsia="Lato" w:hAnsi="Lato"/>
          <w:i/>
          <w:iCs/>
          <w:color w:val="333333"/>
          <w:sz w:val="22"/>
          <w:szCs w:val="22"/>
        </w:rPr>
        <w:t xml:space="preserve">USMCA-compliant production — duty-free shipping for qualifying products to the 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E0E0E0"/>
        <w:sz w:val="16"/>
        <w:szCs w:val="16"/>
      </w:rPr>
      <w:t xml:space="preserve">gpw-solutions.com  |  rfq@gpw-solutions.com  |  Page </w:t>
    </w:r>
    <w:r>
      <w:rPr>
        <w:rFonts w:ascii="Lato" w:cs="Lato" w:eastAsia="Lato" w:hAnsi="Lato"/>
        <w:color w:val="E0E0E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left"/>
    </w:pPr>
    <w:r>
      <w:rPr>
        <w:rFonts w:ascii="Trirong" w:cs="Trirong" w:eastAsia="Trirong" w:hAnsi="Trirong"/>
        <w:b/>
        <w:bCs/>
        <w:color w:val="23555A"/>
        <w:sz w:val="18"/>
        <w:szCs w:val="18"/>
      </w:rPr>
      <w:t xml:space="preserve">GLOBAL PRECISION WORKS</w:t>
    </w:r>
    <w:r>
      <w:rPr>
        <w:rFonts w:ascii="Lato" w:cs="Lato" w:eastAsia="Lato" w:hAnsi="Lato"/>
        <w:color w:val="2A4E64"/>
        <w:sz w:val="18"/>
        <w:szCs w:val="18"/>
      </w:rPr>
      <w:t xml:space="preserve">  |  System Integration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2026-03-07T03:32:32.294Z</dcterms:created>
  <dcterms:modified xsi:type="dcterms:W3CDTF">2026-03-07T03:32:32.294Z</dcterms:modified>
</cp:coreProperties>
</file>

<file path=docProps/custom.xml><?xml version="1.0" encoding="utf-8"?>
<Properties xmlns="http://schemas.openxmlformats.org/officeDocument/2006/custom-properties" xmlns:vt="http://schemas.openxmlformats.org/officeDocument/2006/docPropsVTypes"/>
</file>