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left"/>
      </w:pPr>
      <w:r>
        <w:rPr>
          <w:rFonts w:ascii="Lato" w:cs="Lato" w:eastAsia="Lato" w:hAnsi="Lato"/>
          <w:b/>
          <w:bCs/>
          <w:color w:val="ED835E"/>
          <w:sz w:val="20"/>
          <w:szCs w:val="20"/>
        </w:rPr>
        <w:t xml:space="preserve">SERVICE PAGE COPY</w:t>
      </w:r>
    </w:p>
    <w:p>
      <w:pPr>
        <w:spacing w:after="100"/>
        <w:jc w:val="left"/>
      </w:pPr>
      <w:r>
        <w:rPr>
          <w:rFonts w:ascii="Trirong" w:cs="Trirong" w:eastAsia="Trirong" w:hAnsi="Trirong"/>
          <w:b/>
          <w:bCs/>
          <w:color w:val="23555A"/>
          <w:sz w:val="52"/>
          <w:szCs w:val="52"/>
        </w:rPr>
        <w:t xml:space="preserve">Testing &amp; Inspection</w:t>
      </w:r>
    </w:p>
    <w:p>
      <w:pPr>
        <w:spacing w:after="80"/>
        <w:jc w:val="left"/>
      </w:pPr>
      <w:r>
        <w:rPr>
          <w:rFonts w:ascii="Lato" w:cs="Lato" w:eastAsia="Lato" w:hAnsi="Lato"/>
          <w:color w:val="2A4E64"/>
          <w:sz w:val="26"/>
          <w:szCs w:val="26"/>
        </w:rPr>
        <w:t xml:space="preserve">Built Into Every Assembly, Not Bolted On at the End</w:t>
      </w:r>
    </w:p>
    <w:p>
      <w:pPr>
        <w:spacing w:after="300"/>
        <w:jc w:val="left"/>
      </w:pPr>
      <w:r>
        <w:rPr>
          <w:rFonts w:ascii="Lato" w:cs="Lato" w:eastAsia="Lato" w:hAnsi="Lato"/>
          <w:color w:val="E0E0E0"/>
          <w:sz w:val="20"/>
          <w:szCs w:val="20"/>
        </w:rPr>
        <w:t xml:space="preserve">gpw-solutions.com/electromechanical-assembly/services/testing-inspection/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3555A"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WORD COUNT</w:t>
            </w:r>
          </w:p>
          <w:p>
            <w:pPr>
              <w:jc w:val="center"/>
            </w:pPr>
            <w:r>
              <w:rPr>
                <w:rFonts w:ascii="Lato" w:cs="Lato" w:eastAsia="Lato" w:hAnsi="Lato"/>
                <w:b/>
                <w:bCs/>
                <w:color w:val="FFFFFF"/>
                <w:sz w:val="28"/>
                <w:szCs w:val="28"/>
              </w:rPr>
              <w:t xml:space="preserve">~2,800</w:t>
            </w:r>
          </w:p>
        </w:tc>
        <w:tc>
          <w:tcPr>
            <w:tcW w:type="dxa" w:w="3120"/>
            <w:tcBorders>
              <w:top w:val="none" w:color="FFFFFF" w:sz="0"/>
              <w:left w:val="none" w:color="FFFFFF" w:sz="0"/>
              <w:bottom w:val="none" w:color="FFFFFF" w:sz="0"/>
              <w:right w:val="none" w:color="FFFFFF" w:sz="0"/>
            </w:tcBorders>
            <w:shd w:fill="2A4E64"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PAGE TYPE</w:t>
            </w:r>
          </w:p>
          <w:p>
            <w:pPr>
              <w:jc w:val="center"/>
            </w:pPr>
            <w:r>
              <w:rPr>
                <w:rFonts w:ascii="Lato" w:cs="Lato" w:eastAsia="Lato" w:hAnsi="Lato"/>
                <w:b/>
                <w:bCs/>
                <w:color w:val="FFFFFF"/>
                <w:sz w:val="28"/>
                <w:szCs w:val="28"/>
              </w:rPr>
              <w:t xml:space="preserve">Service Page</w:t>
            </w:r>
          </w:p>
        </w:tc>
        <w:tc>
          <w:tcPr>
            <w:tcW w:type="dxa" w:w="3120"/>
            <w:tcBorders>
              <w:top w:val="none" w:color="FFFFFF" w:sz="0"/>
              <w:left w:val="none" w:color="FFFFFF" w:sz="0"/>
              <w:bottom w:val="none" w:color="FFFFFF" w:sz="0"/>
              <w:right w:val="none" w:color="FFFFFF" w:sz="0"/>
            </w:tcBorders>
            <w:shd w:fill="ED835E"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PRIORITY</w:t>
            </w:r>
          </w:p>
          <w:p>
            <w:pPr>
              <w:jc w:val="center"/>
            </w:pPr>
            <w:r>
              <w:rPr>
                <w:rFonts w:ascii="Lato" w:cs="Lato" w:eastAsia="Lato" w:hAnsi="Lato"/>
                <w:b/>
                <w:bCs/>
                <w:color w:val="FFFFFF"/>
                <w:sz w:val="28"/>
                <w:szCs w:val="28"/>
              </w:rPr>
              <w:t xml:space="preserve">P2</w:t>
            </w:r>
          </w:p>
        </w:tc>
      </w:tr>
    </w:tbl>
    <w:p>
      <w:pPr>
        <w:spacing w:after="200"/>
      </w:pPr>
    </w:p>
    <w:p>
      <w:pPr>
        <w:spacing w:after="160"/>
      </w:pPr>
      <w:r>
        <w:rPr>
          <w:rFonts w:ascii="Lato" w:cs="Lato" w:eastAsia="Lato" w:hAnsi="Lato"/>
          <w:b/>
          <w:bCs/>
          <w:color w:val="23555A"/>
          <w:sz w:val="22"/>
          <w:szCs w:val="22"/>
        </w:rPr>
        <w:t xml:space="preserve">Primary CTA: </w:t>
      </w:r>
      <w:r>
        <w:rPr>
          <w:rFonts w:ascii="Lato" w:cs="Lato" w:eastAsia="Lato" w:hAnsi="Lato"/>
          <w:color w:val="333333"/>
          <w:sz w:val="22"/>
          <w:szCs w:val="22"/>
        </w:rPr>
        <w:t xml:space="preserve">Request a Quote</w:t>
      </w:r>
    </w:p>
    <w:p>
      <w:pPr>
        <w:spacing w:after="160"/>
      </w:pPr>
      <w:r>
        <w:rPr>
          <w:rFonts w:ascii="Lato" w:cs="Lato" w:eastAsia="Lato" w:hAnsi="Lato"/>
          <w:b/>
          <w:bCs/>
          <w:color w:val="23555A"/>
          <w:sz w:val="22"/>
          <w:szCs w:val="22"/>
        </w:rPr>
        <w:t xml:space="preserve">Secondary CTA: </w:t>
      </w:r>
      <w:r>
        <w:rPr>
          <w:rFonts w:ascii="Lato" w:cs="Lato" w:eastAsia="Lato" w:hAnsi="Lato"/>
          <w:color w:val="333333"/>
          <w:sz w:val="22"/>
          <w:szCs w:val="22"/>
        </w:rPr>
        <w:t xml:space="preserve">Download Quality Assurance Guide</w:t>
      </w:r>
    </w:p>
    <w:p>
      <w:pPr>
        <w:spacing w:after="160"/>
      </w:pPr>
      <w:r>
        <w:rPr>
          <w:rFonts w:ascii="Lato" w:cs="Lato" w:eastAsia="Lato" w:hAnsi="Lato"/>
          <w:b/>
          <w:bCs/>
          <w:color w:val="23555A"/>
          <w:sz w:val="22"/>
          <w:szCs w:val="22"/>
        </w:rPr>
        <w:t xml:space="preserve">Content Pillars: </w:t>
      </w:r>
      <w:r>
        <w:rPr>
          <w:rFonts w:ascii="Lato" w:cs="Lato" w:eastAsia="Lato" w:hAnsi="Lato"/>
          <w:color w:val="333333"/>
          <w:sz w:val="22"/>
          <w:szCs w:val="22"/>
        </w:rPr>
        <w:t xml:space="preserve">Quality &amp; Trust, Assembly Services</w:t>
      </w:r>
    </w:p>
    <w:p>
      <w:pPr>
        <w:spacing w:after="160"/>
      </w:pPr>
      <w:r>
        <w:rPr>
          <w:rFonts w:ascii="Lato" w:cs="Lato" w:eastAsia="Lato" w:hAnsi="Lato"/>
          <w:b/>
          <w:bCs/>
          <w:color w:val="23555A"/>
          <w:sz w:val="22"/>
          <w:szCs w:val="22"/>
        </w:rPr>
        <w:t xml:space="preserve">SEO Title: </w:t>
      </w:r>
      <w:r>
        <w:rPr>
          <w:rFonts w:ascii="Lato" w:cs="Lato" w:eastAsia="Lato" w:hAnsi="Lato"/>
          <w:color w:val="333333"/>
          <w:sz w:val="22"/>
          <w:szCs w:val="22"/>
        </w:rPr>
        <w:t xml:space="preserve">Testing &amp; Inspection Services | Electromechanical QA | GPW (55 chars)</w:t>
      </w:r>
    </w:p>
    <w:p>
      <w:pPr>
        <w:spacing w:after="160"/>
      </w:pPr>
      <w:r>
        <w:rPr>
          <w:rFonts w:ascii="Lato" w:cs="Lato" w:eastAsia="Lato" w:hAnsi="Lato"/>
          <w:b/>
          <w:bCs/>
          <w:color w:val="23555A"/>
          <w:sz w:val="22"/>
          <w:szCs w:val="22"/>
        </w:rPr>
        <w:t xml:space="preserve">Meta Description: </w:t>
      </w:r>
      <w:r>
        <w:rPr>
          <w:rFonts w:ascii="Lato" w:cs="Lato" w:eastAsia="Lato" w:hAnsi="Lato"/>
          <w:color w:val="333333"/>
          <w:sz w:val="22"/>
          <w:szCs w:val="22"/>
        </w:rPr>
        <w:t xml:space="preserve">Functional testing, burn-in, Hi-Pot, and visual inspection for electromechanical assemblies. In-line quality gates, full traceability. Monterrey, Mexico. (153 chars)</w:t>
      </w:r>
    </w:p>
    <w:p>
      <w:pPr>
        <w:pageBreakBefore/>
      </w:pPr>
    </w:p>
    <w:p>
      <w:pPr>
        <w:pStyle w:val="Heading1"/>
        <w:spacing w:after="200" w:before="360"/>
      </w:pPr>
      <w:r>
        <w:rPr>
          <w:rFonts w:ascii="Trirong" w:cs="Trirong" w:eastAsia="Trirong" w:hAnsi="Trirong"/>
          <w:b/>
          <w:bCs/>
          <w:color w:val="23555A"/>
          <w:sz w:val="36"/>
          <w:szCs w:val="36"/>
        </w:rPr>
        <w:t xml:space="preserve">Section 1: Hero</w:t>
      </w:r>
    </w:p>
    <w:p>
      <w:pPr>
        <w:pStyle w:val="Heading2"/>
        <w:spacing w:after="160" w:before="300"/>
      </w:pPr>
      <w:r>
        <w:rPr>
          <w:rFonts w:ascii="Trirong" w:cs="Trirong" w:eastAsia="Trirong" w:hAnsi="Trirong"/>
          <w:b/>
          <w:bCs/>
          <w:color w:val="2A4E64"/>
          <w:sz w:val="28"/>
          <w:szCs w:val="28"/>
        </w:rPr>
        <w:t xml:space="preserve">Testing &amp; Inspection — Built Into Every Assembly, Not Bolted On at the End</w:t>
      </w:r>
    </w:p>
    <w:p>
      <w:pPr>
        <w:spacing w:after="160"/>
        <w:rPr>
          <w:i/>
          <w:iCs/>
          <w:color w:val="2A4E64"/>
        </w:rPr>
      </w:pPr>
      <w:r>
        <w:rPr>
          <w:rFonts w:ascii="Lato" w:cs="Lato" w:eastAsia="Lato" w:hAnsi="Lato"/>
          <w:i/>
          <w:iCs/>
          <w:color w:val="2A4E64"/>
          <w:sz w:val="22"/>
          <w:szCs w:val="22"/>
        </w:rPr>
        <w:t xml:space="preserve">Global Precision Works (GPW) integrates testing and inspection throughout the assembly process — from incoming component verification through system-level validation — ensuring every unit that leaves Monterrey meets your specifications.</w:t>
      </w:r>
    </w:p>
    <w:p>
      <w:pPr>
        <w:pBdr>
          <w:bottom w:val="single" w:color="ADCF91" w:sz="6" w:space="1"/>
        </w:pBdr>
        <w:spacing w:after="200" w:before="200"/>
      </w:pPr>
    </w:p>
    <w:p>
      <w:pPr>
        <w:spacing w:after="160"/>
      </w:pPr>
      <w:r>
        <w:rPr>
          <w:rFonts w:ascii="Lato" w:cs="Lato" w:eastAsia="Lato" w:hAnsi="Lato"/>
          <w:color w:val="333333"/>
          <w:sz w:val="22"/>
          <w:szCs w:val="22"/>
        </w:rPr>
        <w:t xml:space="preserve">A defect caught at station 3 costs a fraction of a defect caught at end-of-line. A defect caught at end-of-line costs a fraction of a defect caught at your customer's dock. And a defect that reaches the field costs more than all of them combined — in warranty claims, reputation damage, and lost accounts.</w:t>
      </w:r>
    </w:p>
    <w:p>
      <w:pPr>
        <w:spacing w:after="160"/>
      </w:pPr>
      <w:r>
        <w:rPr>
          <w:rFonts w:ascii="Lato" w:cs="Lato" w:eastAsia="Lato" w:hAnsi="Lato"/>
          <w:color w:val="333333"/>
          <w:sz w:val="22"/>
          <w:szCs w:val="22"/>
        </w:rPr>
        <w:t xml:space="preserve">GPW's testing and inspection approach is built on this principle. Quality gates are not a final checkpoint before shipping. They are integrated at every stage of the assembly process: incoming component verification, in-process visual and dimensional checks, continuity and functional testing at critical stations, end-of-line system validation, and burn-in testing when the application requires it.</w:t>
      </w:r>
    </w:p>
    <w:p>
      <w:pPr>
        <w:spacing w:after="160"/>
      </w:pPr>
      <w:r>
        <w:rPr>
          <w:rFonts w:ascii="Lato" w:cs="Lato" w:eastAsia="Lato" w:hAnsi="Lato"/>
          <w:color w:val="333333"/>
          <w:sz w:val="22"/>
          <w:szCs w:val="22"/>
        </w:rPr>
        <w:t xml:space="preserve">This is not a philosophical difference — it is a structural one. GPW's production floor, workstation layout, and operator training are organized around in-line quality, not end-of-line sorting. Every assembly program has a documented test protocol designed for that specific product, with pass/fail criteria, test equipment assignments, and traceability requirements defined before the first unit is built.</w:t>
      </w:r>
    </w:p>
    <w:p>
      <w:pPr>
        <w:spacing w:after="160"/>
      </w:pPr>
      <w:r>
        <w:rPr>
          <w:rFonts w:ascii="Lato" w:cs="Lato" w:eastAsia="Lato" w:hAnsi="Lato"/>
          <w:color w:val="333333"/>
          <w:sz w:val="22"/>
          <w:szCs w:val="22"/>
        </w:rPr>
        <w:t xml:space="preserve">Your program manager works from the same timezone as your U.S. operations team. When a test result needs discussion, the conversation happens in real time — not through overnight email exchanges across 12 time zones.</w:t>
      </w:r>
    </w:p>
    <w:p>
      <w:pPr>
        <w:spacing w:after="160"/>
      </w:pPr>
      <w:r>
        <w:rPr>
          <w:rFonts w:ascii="Lato" w:cs="Lato" w:eastAsia="Lato" w:hAnsi="Lato"/>
          <w:color w:val="333333"/>
          <w:sz w:val="22"/>
          <w:szCs w:val="22"/>
        </w:rPr>
        <w:t xml:space="preserve">GPW's nearshore facility in Monterrey handles multi-vertical testing programs under one roof. Whether you need a 32-point functional test for a medical device or a 72-hour burn-in for server nodes, the engineering team builds the test plan from your product specifications — ready to scale from first article validation through sustained production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2: Definition Block</w:t>
      </w:r>
    </w:p>
    <w:p>
      <w:pPr>
        <w:pStyle w:val="Heading2"/>
        <w:spacing w:after="160" w:before="300"/>
      </w:pPr>
      <w:r>
        <w:rPr>
          <w:rFonts w:ascii="Trirong" w:cs="Trirong" w:eastAsia="Trirong" w:hAnsi="Trirong"/>
          <w:b/>
          <w:bCs/>
          <w:color w:val="2A4E64"/>
          <w:sz w:val="28"/>
          <w:szCs w:val="28"/>
        </w:rPr>
        <w:t xml:space="preserve">What Is Testing and Inspection in Electromechanical Assembly?</w:t>
      </w:r>
    </w:p>
    <w:p>
      <w:pPr>
        <w:spacing w:after="160"/>
      </w:pPr>
      <w:r>
        <w:rPr>
          <w:rFonts w:ascii="Lato" w:cs="Lato" w:eastAsia="Lato" w:hAnsi="Lato"/>
          <w:color w:val="333333"/>
          <w:sz w:val="22"/>
          <w:szCs w:val="22"/>
        </w:rPr>
        <w:t xml:space="preserve">Testing and inspection in electromechanical assembly is the set of verification processes that confirm a product meets its design specifications, workmanship standards, and regulatory requirements. It covers the full scope from incoming material verification through final product validation — including visual inspection, dimensional measurement, electrical continuity, functional performance, safety compliance, and environmental stress testing. Unlike board-level testing (ICT, AOI), electromechanical testing validates the complete assembled product: mechanical fit, cable integrity, connector seating, firmware operation, and system-level performance under load.</w:t>
      </w:r>
    </w:p>
    <w:p>
      <w:pPr>
        <w:spacing w:after="160"/>
      </w:pPr>
      <w:r>
        <w:rPr>
          <w:rFonts w:ascii="Lato" w:cs="Lato" w:eastAsia="Lato" w:hAnsi="Lato"/>
          <w:b/>
          <w:bCs/>
          <w:color w:val="23555A"/>
          <w:sz w:val="22"/>
          <w:szCs w:val="22"/>
        </w:rPr>
        <w:t xml:space="preserve">Key characteristics:</w:t>
      </w:r>
    </w:p>
    <w:p>
      <w:pPr>
        <w:pStyle w:val="ListParagraph"/>
        <w:numPr>
          <w:ilvl w:val="0"/>
          <w:numId w:val="2"/>
        </w:numPr>
        <w:spacing w:after="80"/>
      </w:pPr>
      <w:r>
        <w:rPr>
          <w:rFonts w:ascii="Lato" w:cs="Lato" w:eastAsia="Lato" w:hAnsi="Lato"/>
          <w:color w:val="333333"/>
          <w:sz w:val="22"/>
          <w:szCs w:val="22"/>
        </w:rPr>
        <w:t xml:space="preserve">Applies at multiple stages: incoming, in-process, end-of-line, and post-production (burn-in)</w:t>
      </w:r>
    </w:p>
    <w:p>
      <w:pPr>
        <w:pStyle w:val="ListParagraph"/>
        <w:numPr>
          <w:ilvl w:val="0"/>
          <w:numId w:val="2"/>
        </w:numPr>
        <w:spacing w:after="80"/>
      </w:pPr>
      <w:r>
        <w:rPr>
          <w:rFonts w:ascii="Lato" w:cs="Lato" w:eastAsia="Lato" w:hAnsi="Lato"/>
          <w:color w:val="333333"/>
          <w:sz w:val="22"/>
          <w:szCs w:val="22"/>
        </w:rPr>
        <w:t xml:space="preserve">Tests the integrated product, not just individual components or boards</w:t>
      </w:r>
    </w:p>
    <w:p>
      <w:pPr>
        <w:pStyle w:val="ListParagraph"/>
        <w:numPr>
          <w:ilvl w:val="0"/>
          <w:numId w:val="2"/>
        </w:numPr>
        <w:spacing w:after="80"/>
      </w:pPr>
      <w:r>
        <w:rPr>
          <w:rFonts w:ascii="Lato" w:cs="Lato" w:eastAsia="Lato" w:hAnsi="Lato"/>
          <w:color w:val="333333"/>
          <w:sz w:val="22"/>
          <w:szCs w:val="22"/>
        </w:rPr>
        <w:t xml:space="preserve">Produces documented, traceable results tied to each unit's serial number</w:t>
      </w:r>
    </w:p>
    <w:p>
      <w:pPr>
        <w:pStyle w:val="ListParagraph"/>
        <w:numPr>
          <w:ilvl w:val="0"/>
          <w:numId w:val="2"/>
        </w:numPr>
        <w:spacing w:after="80"/>
      </w:pPr>
      <w:r>
        <w:rPr>
          <w:rFonts w:ascii="Lato" w:cs="Lato" w:eastAsia="Lato" w:hAnsi="Lato"/>
          <w:color w:val="333333"/>
          <w:sz w:val="22"/>
          <w:szCs w:val="22"/>
        </w:rPr>
        <w:t xml:space="preserve">Protocols are product-specific — designed for each assembly program, not generic checklists</w:t>
      </w:r>
    </w:p>
    <w:p>
      <w:pPr>
        <w:pStyle w:val="ListParagraph"/>
        <w:numPr>
          <w:ilvl w:val="0"/>
          <w:numId w:val="2"/>
        </w:numPr>
        <w:spacing w:after="80"/>
      </w:pPr>
      <w:r>
        <w:rPr>
          <w:rFonts w:ascii="Lato" w:cs="Lato" w:eastAsia="Lato" w:hAnsi="Lato"/>
          <w:color w:val="333333"/>
          <w:sz w:val="22"/>
          <w:szCs w:val="22"/>
        </w:rPr>
        <w:t xml:space="preserve">Covers mechanical, electrical, and functional parameters in a single test plan</w:t>
      </w:r>
    </w:p>
    <w:p>
      <w:pPr>
        <w:spacing w:after="160"/>
      </w:pPr>
      <w:r>
        <w:rPr>
          <w:rFonts w:ascii="Lato" w:cs="Lato" w:eastAsia="Lato" w:hAnsi="Lato"/>
          <w:b/>
          <w:bCs/>
          <w:color w:val="23555A"/>
          <w:sz w:val="22"/>
          <w:szCs w:val="22"/>
        </w:rPr>
        <w:t xml:space="preserve">Example: </w:t>
      </w:r>
      <w:r>
        <w:rPr>
          <w:rFonts w:ascii="Lato" w:cs="Lato" w:eastAsia="Lato" w:hAnsi="Lato"/>
          <w:color w:val="333333"/>
          <w:sz w:val="22"/>
          <w:szCs w:val="22"/>
        </w:rPr>
        <w:t xml:space="preserve">A medical device OEM requires every assembled unit to pass a 32-point functional test, a Hi-Pot safety test at 1,500V, and a 24-hour burn-in at elevated temperature before shipment. GPW designs the test protocol, builds the test fixtures, trains operators on the procedures, and documents every result — creating a complete device history record that the OEM submits as part of their FDA filing.</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3: GPW's Approach — Quality at Every Stage</w:t>
      </w:r>
    </w:p>
    <w:p>
      <w:pPr>
        <w:spacing w:after="160"/>
      </w:pPr>
      <w:r>
        <w:rPr>
          <w:rFonts w:ascii="Lato" w:cs="Lato" w:eastAsia="Lato" w:hAnsi="Lato"/>
          <w:color w:val="333333"/>
          <w:sz w:val="22"/>
          <w:szCs w:val="22"/>
        </w:rPr>
        <w:t xml:space="preserve">GPW does not treat testing as a separate department that receives finished assemblies and decides which ones pass. Testing is embedded in the production process — designed by the same engineering team that creates the assembly work instructions, using fixtures and equipment positioned at the stations where they prevent the most defects.</w:t>
      </w:r>
    </w:p>
    <w:p>
      <w:pPr>
        <w:spacing w:after="120" w:before="240"/>
      </w:pPr>
      <w:r>
        <w:rPr>
          <w:rFonts w:ascii="Trirong" w:cs="Trirong" w:eastAsia="Trirong" w:hAnsi="Trirong"/>
          <w:b/>
          <w:bCs/>
          <w:color w:val="23555A"/>
          <w:sz w:val="24"/>
          <w:szCs w:val="24"/>
        </w:rPr>
        <w:t xml:space="preserve">Step 1: Test Protocol Design</w:t>
      </w:r>
    </w:p>
    <w:p>
      <w:pPr>
        <w:spacing w:after="160"/>
      </w:pPr>
      <w:r>
        <w:rPr>
          <w:rFonts w:ascii="Lato" w:cs="Lato" w:eastAsia="Lato" w:hAnsi="Lato"/>
          <w:color w:val="333333"/>
          <w:sz w:val="22"/>
          <w:szCs w:val="22"/>
        </w:rPr>
        <w:t xml:space="preserve">Every assembly program starts with a test plan. GPW's engineering team reviews the product requirements — electrical specifications, mechanical tolerances, performance criteria, safety standards, and regulatory requirements — and designs a test protocol specific to that product.</w:t>
      </w:r>
    </w:p>
    <w:p>
      <w:pPr>
        <w:spacing w:after="160"/>
      </w:pPr>
      <w:r>
        <w:rPr>
          <w:rFonts w:ascii="Lato" w:cs="Lato" w:eastAsia="Lato" w:hAnsi="Lato"/>
          <w:color w:val="333333"/>
          <w:sz w:val="22"/>
          <w:szCs w:val="22"/>
        </w:rPr>
        <w:t xml:space="preserve">The protocol defines what gets tested at each station, the pass/fail criteria for every parameter, the test equipment and fixtures required, operator qualification requirements, and the documentation format. The test protocol is reviewed with the customer and approved before production begins.</w:t>
      </w:r>
    </w:p>
    <w:p>
      <w:pPr>
        <w:spacing w:after="160"/>
      </w:pPr>
      <w:r>
        <w:rPr>
          <w:rFonts w:ascii="Lato" w:cs="Lato" w:eastAsia="Lato" w:hAnsi="Lato"/>
          <w:color w:val="333333"/>
          <w:sz w:val="22"/>
          <w:szCs w:val="22"/>
        </w:rPr>
        <w:t xml:space="preserve">For products that require custom test fixtures — functional test beds, cable continuity jigs, or burn-in racks — GPW designs and builds them in-house. The fixtures are validated during the first article build and maintained as part of the production tooling.</w:t>
      </w:r>
    </w:p>
    <w:p>
      <w:pPr>
        <w:spacing w:after="160"/>
      </w:pPr>
      <w:r>
        <w:rPr>
          <w:rFonts w:ascii="Lato" w:cs="Lato" w:eastAsia="Lato" w:hAnsi="Lato"/>
          <w:color w:val="333333"/>
          <w:sz w:val="22"/>
          <w:szCs w:val="22"/>
        </w:rPr>
        <w:t xml:space="preserve">This built-to-order approach means every test protocol reflects the actual product — not a recycled template from a different program. The result is fewer false failures, faster test cycle times, and documentation that holds up during customer audits and regulatory reviews.</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A documented, customer-approved test protocol with station assignments, pass/fail criteria, and fixture specifications.</w:t>
      </w:r>
    </w:p>
    <w:p>
      <w:pPr>
        <w:spacing w:after="120" w:before="240"/>
      </w:pPr>
      <w:r>
        <w:rPr>
          <w:rFonts w:ascii="Trirong" w:cs="Trirong" w:eastAsia="Trirong" w:hAnsi="Trirong"/>
          <w:b/>
          <w:bCs/>
          <w:color w:val="23555A"/>
          <w:sz w:val="24"/>
          <w:szCs w:val="24"/>
        </w:rPr>
        <w:t xml:space="preserve">Step 2: Incoming Inspection</w:t>
      </w:r>
    </w:p>
    <w:p>
      <w:pPr>
        <w:spacing w:after="160"/>
      </w:pPr>
      <w:r>
        <w:rPr>
          <w:rFonts w:ascii="Lato" w:cs="Lato" w:eastAsia="Lato" w:hAnsi="Lato"/>
          <w:color w:val="333333"/>
          <w:sz w:val="22"/>
          <w:szCs w:val="22"/>
        </w:rPr>
        <w:t xml:space="preserve">Quality starts at the receiving dock. GPW's incoming inspection process verifies every component before it reaches the assembly line. Critical components — PCBAs, connectors, cable assemblies, and mechanical parts — are inspected against the approved vendor list, dimensional specifications, and cosmetic standards.</w:t>
      </w:r>
    </w:p>
    <w:p>
      <w:pPr>
        <w:spacing w:after="160"/>
      </w:pPr>
      <w:r>
        <w:rPr>
          <w:rFonts w:ascii="Lato" w:cs="Lato" w:eastAsia="Lato" w:hAnsi="Lato"/>
          <w:color w:val="333333"/>
          <w:sz w:val="22"/>
          <w:szCs w:val="22"/>
        </w:rPr>
        <w:t xml:space="preserve">The incoming inspection team uses calibrated measurement tools, visual inspection stations with magnification, and sample-based testing per the customer's acceptable quality level (AQL). Components that fail incoming inspection are quarantined, documented, and dispositioned — never mixed into production inventory.</w:t>
      </w:r>
    </w:p>
    <w:p>
      <w:pPr>
        <w:spacing w:after="160"/>
      </w:pPr>
      <w:r>
        <w:rPr>
          <w:rFonts w:ascii="Lato" w:cs="Lato" w:eastAsia="Lato" w:hAnsi="Lato"/>
          <w:color w:val="333333"/>
          <w:sz w:val="22"/>
          <w:szCs w:val="22"/>
        </w:rPr>
        <w:t xml:space="preserve">GPW sources components through its own supplier network, the customer's approved vendors, or receives customer-furnished materials. Regardless of the sourcing model, every component goes through the same incoming inspection process.</w:t>
      </w:r>
    </w:p>
    <w:p>
      <w:pPr>
        <w:spacing w:after="160"/>
      </w:pPr>
      <w:r>
        <w:rPr>
          <w:rFonts w:ascii="Lato" w:cs="Lato" w:eastAsia="Lato" w:hAnsi="Lato"/>
          <w:color w:val="333333"/>
          <w:sz w:val="22"/>
          <w:szCs w:val="22"/>
        </w:rPr>
        <w:t xml:space="preserve">From BOM verification through lot traceability, the incoming inspection process creates a documented chain of custody that supports regulatory filings, customer audits, and warranty investigations.</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Only verified, conforming components reach the production floor.</w:t>
      </w:r>
    </w:p>
    <w:p>
      <w:pPr>
        <w:spacing w:after="120" w:before="240"/>
      </w:pPr>
      <w:r>
        <w:rPr>
          <w:rFonts w:ascii="Trirong" w:cs="Trirong" w:eastAsia="Trirong" w:hAnsi="Trirong"/>
          <w:b/>
          <w:bCs/>
          <w:color w:val="23555A"/>
          <w:sz w:val="24"/>
          <w:szCs w:val="24"/>
        </w:rPr>
        <w:t xml:space="preserve">Step 3: In-Process Quality Gates</w:t>
      </w:r>
    </w:p>
    <w:p>
      <w:pPr>
        <w:spacing w:after="160"/>
      </w:pPr>
      <w:r>
        <w:rPr>
          <w:rFonts w:ascii="Lato" w:cs="Lato" w:eastAsia="Lato" w:hAnsi="Lato"/>
          <w:color w:val="333333"/>
          <w:sz w:val="22"/>
          <w:szCs w:val="22"/>
        </w:rPr>
        <w:t xml:space="preserve">As assemblies move through production, quality gates at critical stations catch defects before they propagate. These are not random spot checks. They are planned inspection points defined in the test protocol, positioned at stations where the highest-risk operations occur.</w:t>
      </w:r>
    </w:p>
    <w:p>
      <w:pPr>
        <w:spacing w:after="160"/>
      </w:pPr>
      <w:r>
        <w:rPr>
          <w:rFonts w:ascii="Lato" w:cs="Lato" w:eastAsia="Lato" w:hAnsi="Lato"/>
          <w:color w:val="333333"/>
          <w:sz w:val="22"/>
          <w:szCs w:val="22"/>
        </w:rPr>
        <w:t xml:space="preserve">Typical in-process gates include visual inspection of solder joints and wire terminations per IPC-A-610 and IPC-A-620 workmanship standards, torque verification on critical fasteners, continuity checks after cable routing and connector termination, and dimensional verification of mechanical assemblies against drawing tolerances.</w:t>
      </w:r>
    </w:p>
    <w:p>
      <w:pPr>
        <w:spacing w:after="160"/>
      </w:pPr>
      <w:r>
        <w:rPr>
          <w:rFonts w:ascii="Lato" w:cs="Lato" w:eastAsia="Lato" w:hAnsi="Lato"/>
          <w:color w:val="333333"/>
          <w:sz w:val="22"/>
          <w:szCs w:val="22"/>
        </w:rPr>
        <w:t xml:space="preserve">Each quality gate produces a documented result tied to the unit's serial number. If a unit fails any gate, technicians route it to a dedicated rework station. The team logs the failure, performs root cause analysis, and feeds the findings back into the process. Reworked units go through the failed gate again — they do not skip ahead.</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Defects caught at the station where they occur, preventing costly rework downstream.</w:t>
      </w:r>
    </w:p>
    <w:p>
      <w:pPr>
        <w:spacing w:after="120" w:before="240"/>
      </w:pPr>
      <w:r>
        <w:rPr>
          <w:rFonts w:ascii="Trirong" w:cs="Trirong" w:eastAsia="Trirong" w:hAnsi="Trirong"/>
          <w:b/>
          <w:bCs/>
          <w:color w:val="23555A"/>
          <w:sz w:val="24"/>
          <w:szCs w:val="24"/>
        </w:rPr>
        <w:t xml:space="preserve">Step 4: End-of-Line Functional Testing</w:t>
      </w:r>
    </w:p>
    <w:p>
      <w:pPr>
        <w:spacing w:after="160"/>
      </w:pPr>
      <w:r>
        <w:rPr>
          <w:rFonts w:ascii="Lato" w:cs="Lato" w:eastAsia="Lato" w:hAnsi="Lato"/>
          <w:color w:val="333333"/>
          <w:sz w:val="22"/>
          <w:szCs w:val="22"/>
        </w:rPr>
        <w:t xml:space="preserve">End-of-line testing validates the complete assembly as a functional product. This goes beyond component-level verification — it confirms that every subsystem works together as designed.</w:t>
      </w:r>
    </w:p>
    <w:p>
      <w:pPr>
        <w:spacing w:after="160"/>
      </w:pPr>
      <w:r>
        <w:rPr>
          <w:rFonts w:ascii="Lato" w:cs="Lato" w:eastAsia="Lato" w:hAnsi="Lato"/>
          <w:color w:val="333333"/>
          <w:sz w:val="22"/>
          <w:szCs w:val="22"/>
        </w:rPr>
        <w:t xml:space="preserve">GPW's end-of-line test protocols typically cover power-on sequencing and voltage verification, communication between PCBAs and subsystems, input/output functional verification against the product specification, firmware version confirmation, safety testing (Hi-Pot, ground continuity) where required, and performance measurement under operating conditions.</w:t>
      </w:r>
    </w:p>
    <w:p>
      <w:pPr>
        <w:spacing w:after="160"/>
      </w:pPr>
      <w:r>
        <w:rPr>
          <w:rFonts w:ascii="Lato" w:cs="Lato" w:eastAsia="Lato" w:hAnsi="Lato"/>
          <w:color w:val="333333"/>
          <w:sz w:val="22"/>
          <w:szCs w:val="22"/>
        </w:rPr>
        <w:t xml:space="preserve">GPW records test results digitally, ties each result to the unit's serial number, and archives everything as part of the production record. The test data package travels with the product — available for customer review, regulatory filing, or warranty reference.</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Every unit that passes end-of-line testing meets the product specification across all functional parameters.</w:t>
      </w:r>
    </w:p>
    <w:p>
      <w:pPr>
        <w:spacing w:after="120" w:before="240"/>
      </w:pPr>
      <w:r>
        <w:rPr>
          <w:rFonts w:ascii="Trirong" w:cs="Trirong" w:eastAsia="Trirong" w:hAnsi="Trirong"/>
          <w:b/>
          <w:bCs/>
          <w:color w:val="23555A"/>
          <w:sz w:val="24"/>
          <w:szCs w:val="24"/>
        </w:rPr>
        <w:t xml:space="preserve">Step 5: Burn-In and Environmental Stress Testing</w:t>
      </w:r>
    </w:p>
    <w:p>
      <w:pPr>
        <w:spacing w:after="160"/>
      </w:pPr>
      <w:r>
        <w:rPr>
          <w:rFonts w:ascii="Lato" w:cs="Lato" w:eastAsia="Lato" w:hAnsi="Lato"/>
          <w:color w:val="333333"/>
          <w:sz w:val="22"/>
          <w:szCs w:val="22"/>
        </w:rPr>
        <w:t xml:space="preserve">For products that require it, GPW runs burn-in testing to identify early-life failures before shipment. Burn-in subjects assembled units to extended operation under controlled conditions — elevated temperature, sustained electrical load, repeated power cycling — to accelerate infant mortality failures that would otherwise appear in the field.</w:t>
      </w:r>
    </w:p>
    <w:p>
      <w:pPr>
        <w:spacing w:after="160"/>
      </w:pPr>
      <w:r>
        <w:rPr>
          <w:rFonts w:ascii="Lato" w:cs="Lato" w:eastAsia="Lato" w:hAnsi="Lato"/>
          <w:color w:val="333333"/>
          <w:sz w:val="22"/>
          <w:szCs w:val="22"/>
        </w:rPr>
        <w:t xml:space="preserve">GPW configures burn-in parameters for each program: duration (typically 24-72 hours), temperature profile, load conditions, and monitoring intervals. Units run on dedicated burn-in racks with continuous monitoring. Failures during burn-in are documented, root-caused, and fed back to engineering for process improvement.</w:t>
      </w:r>
    </w:p>
    <w:p>
      <w:pPr>
        <w:spacing w:after="160"/>
      </w:pPr>
      <w:r>
        <w:rPr>
          <w:rFonts w:ascii="Lato" w:cs="Lato" w:eastAsia="Lato" w:hAnsi="Lato"/>
          <w:color w:val="333333"/>
          <w:sz w:val="22"/>
          <w:szCs w:val="22"/>
        </w:rPr>
        <w:t xml:space="preserve">Environmental stress testing — thermal cycling, vibration, humidity exposure — is available for programs with specific environmental qualification requirements. GPW configures stress profiles to match the product's deployment environment, whether that means desert heat cycles for energy equipment or vibration profiles for automotive sub-assemblies.</w:t>
      </w:r>
    </w:p>
    <w:p>
      <w:pPr>
        <w:spacing w:after="160"/>
      </w:pPr>
      <w:r>
        <w:rPr>
          <w:rFonts w:ascii="Lato" w:cs="Lato" w:eastAsia="Lato" w:hAnsi="Lato"/>
          <w:color w:val="333333"/>
          <w:sz w:val="22"/>
          <w:szCs w:val="22"/>
        </w:rPr>
        <w:t xml:space="preserve">GPW's assembly-first approach means burn-in is not an afterthought. The burn-in process uses the same serialized traceability system that tracks the unit through every prior production step, creating a continuous quality record from component receipt through final shipment.</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Products that survive burn-in have passed the infant mortality window, reducing field failure rates for your customers.</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4: Industries That Rely on Testing and Inspection</w:t>
      </w:r>
    </w:p>
    <w:p>
      <w:pPr>
        <w:spacing w:after="160"/>
      </w:pPr>
      <w:r>
        <w:rPr>
          <w:rFonts w:ascii="Lato" w:cs="Lato" w:eastAsia="Lato" w:hAnsi="Lato"/>
          <w:color w:val="333333"/>
          <w:sz w:val="22"/>
          <w:szCs w:val="22"/>
        </w:rPr>
        <w:t xml:space="preserve">Testing requirements vary dramatically across industries. A consumer appliance may need a basic functional check and safety test. An aerospace sub-assembly may require 100% inspection with serialized records traceable to individual component lot numbers. GPW designs test protocols that match each industry's standards — not a one-size-fits-all approach.</w:t>
      </w:r>
    </w:p>
    <w:p>
      <w:pPr>
        <w:spacing w:after="160"/>
      </w:pPr>
      <w:r>
        <w:rPr>
          <w:rFonts w:ascii="Lato" w:cs="Lato" w:eastAsia="Lato" w:hAnsi="Lato"/>
          <w:b/>
          <w:bCs/>
          <w:color w:val="23555A"/>
          <w:sz w:val="22"/>
          <w:szCs w:val="22"/>
        </w:rPr>
        <w:t xml:space="preserve">Medical Devices &amp; Equipment: </w:t>
      </w:r>
      <w:r>
        <w:rPr>
          <w:rFonts w:ascii="Lato" w:cs="Lato" w:eastAsia="Lato" w:hAnsi="Lato"/>
          <w:color w:val="333333"/>
          <w:sz w:val="22"/>
          <w:szCs w:val="22"/>
        </w:rPr>
        <w:t xml:space="preserve">Medical assemblies demand complete device history records, validated test protocols, and documented traceability from component lot numbers through final test results. GPW supports FDA-aligned documentation requirements, including test protocol validation (IQ/OQ/PQ) and serialized test records for every unit. Hi-Pot safety testing at voltages specified by the device classification is standard.</w:t>
      </w:r>
    </w:p>
    <w:p>
      <w:pPr>
        <w:spacing w:after="160"/>
      </w:pPr>
      <w:r>
        <w:rPr>
          <w:rFonts w:ascii="Lato" w:cs="Lato" w:eastAsia="Lato" w:hAnsi="Lato"/>
          <w:b/>
          <w:bCs/>
          <w:color w:val="23555A"/>
          <w:sz w:val="22"/>
          <w:szCs w:val="22"/>
        </w:rPr>
        <w:t xml:space="preserve">Aerospace Sub-Assemblies: </w:t>
      </w:r>
      <w:r>
        <w:rPr>
          <w:rFonts w:ascii="Lato" w:cs="Lato" w:eastAsia="Lato" w:hAnsi="Lato"/>
          <w:color w:val="333333"/>
          <w:sz w:val="22"/>
          <w:szCs w:val="22"/>
        </w:rPr>
        <w:t xml:space="preserve">Aerospace programs require AS9100-aligned test documentation, 100% inspection at critical quality gates, and full traceability with certificates of conformance. GPW provides serialized build records with test data for every unit, supporting the audit trail requirements of aerospace primes.</w:t>
      </w:r>
    </w:p>
    <w:p>
      <w:pPr>
        <w:spacing w:after="160"/>
      </w:pPr>
      <w:r>
        <w:rPr>
          <w:rFonts w:ascii="Lato" w:cs="Lato" w:eastAsia="Lato" w:hAnsi="Lato"/>
          <w:b/>
          <w:bCs/>
          <w:color w:val="23555A"/>
          <w:sz w:val="22"/>
          <w:szCs w:val="22"/>
        </w:rPr>
        <w:t xml:space="preserve">AI &amp; Server Rack Assembly: </w:t>
      </w:r>
      <w:r>
        <w:rPr>
          <w:rFonts w:ascii="Lato" w:cs="Lato" w:eastAsia="Lato" w:hAnsi="Lato"/>
          <w:color w:val="333333"/>
          <w:sz w:val="22"/>
          <w:szCs w:val="22"/>
        </w:rPr>
        <w:t xml:space="preserve">Server nodes and GPU clusters require functional testing under thermal load, firmware validation across multiple boards, and burn-in testing to eliminate early-life failures before deployment. GPW runs system-level validation that confirms compute, network, and power subsystems communicate correctly — not just that individual boards power on.</w:t>
      </w:r>
    </w:p>
    <w:p>
      <w:pPr>
        <w:spacing w:after="160"/>
      </w:pPr>
      <w:r>
        <w:rPr>
          <w:rFonts w:ascii="Lato" w:cs="Lato" w:eastAsia="Lato" w:hAnsi="Lato"/>
          <w:b/>
          <w:bCs/>
          <w:color w:val="23555A"/>
          <w:sz w:val="22"/>
          <w:szCs w:val="22"/>
        </w:rPr>
        <w:t xml:space="preserve">Industrial Equipment: </w:t>
      </w:r>
      <w:r>
        <w:rPr>
          <w:rFonts w:ascii="Lato" w:cs="Lato" w:eastAsia="Lato" w:hAnsi="Lato"/>
          <w:color w:val="333333"/>
          <w:sz w:val="22"/>
          <w:szCs w:val="22"/>
        </w:rPr>
        <w:t xml:space="preserve">Industrial control systems and motor drives require functional testing under operating conditions, safety compliance testing (Hi-Pot, ground continuity), and performance validation against machine specifications. GPW tests these systems at rated load conditions, not just at idle.</w:t>
      </w:r>
    </w:p>
    <w:p>
      <w:pPr>
        <w:spacing w:after="160"/>
      </w:pPr>
      <w:r>
        <w:rPr>
          <w:rFonts w:ascii="Lato" w:cs="Lato" w:eastAsia="Lato" w:hAnsi="Lato"/>
          <w:color w:val="333333"/>
          <w:sz w:val="22"/>
          <w:szCs w:val="22"/>
        </w:rPr>
        <w:t xml:space="preserve">GPW also provides testing services for Telecommunications (RF shielding verification, network communication testing), Energy (high-voltage safety compliance, environmental stress testing), Automotive (PPAP-aligned inspection, IATF 16949 documentation), and Appliances (safety certification testing, cosmetic inspection standards).</w:t>
      </w:r>
    </w:p>
    <w:p>
      <w:pPr>
        <w:spacing w:after="160"/>
      </w:pPr>
      <w:r>
        <w:rPr>
          <w:rFonts w:ascii="Lato" w:cs="Lato" w:eastAsia="Lato" w:hAnsi="Lato"/>
          <w:color w:val="333333"/>
          <w:sz w:val="22"/>
          <w:szCs w:val="22"/>
        </w:rPr>
        <w:t xml:space="preserve">Every industry has different documentation requirements, test standards, and regulatory expectations. GPW's engineering team designs test protocols that satisfy the specific compliance framework for each vertical — not a generic quality checklist that covers the lowest common denominator.</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5: Capabilities and Specifications</w:t>
      </w:r>
    </w:p>
    <w:p>
      <w:pPr>
        <w:spacing w:after="160"/>
      </w:pPr>
      <w:r>
        <w:rPr>
          <w:rFonts w:ascii="Lato" w:cs="Lato" w:eastAsia="Lato" w:hAnsi="Lato"/>
          <w:b/>
          <w:bCs/>
          <w:color w:val="23555A"/>
          <w:sz w:val="22"/>
          <w:szCs w:val="22"/>
        </w:rPr>
        <w:t xml:space="preserve">Testing types:</w:t>
      </w:r>
    </w:p>
    <w:p>
      <w:pPr>
        <w:pStyle w:val="ListParagraph"/>
        <w:numPr>
          <w:ilvl w:val="0"/>
          <w:numId w:val="2"/>
        </w:numPr>
        <w:spacing w:after="80"/>
      </w:pPr>
      <w:r>
        <w:rPr>
          <w:rFonts w:ascii="Lato" w:cs="Lato" w:eastAsia="Lato" w:hAnsi="Lato"/>
          <w:color w:val="333333"/>
          <w:sz w:val="22"/>
          <w:szCs w:val="22"/>
        </w:rPr>
        <w:t xml:space="preserve">Functional testing (product-specific protocols, 20-100+ test points per unit)</w:t>
      </w:r>
    </w:p>
    <w:p>
      <w:pPr>
        <w:pStyle w:val="ListParagraph"/>
        <w:numPr>
          <w:ilvl w:val="0"/>
          <w:numId w:val="2"/>
        </w:numPr>
        <w:spacing w:after="80"/>
      </w:pPr>
      <w:r>
        <w:rPr>
          <w:rFonts w:ascii="Lato" w:cs="Lato" w:eastAsia="Lato" w:hAnsi="Lato"/>
          <w:color w:val="333333"/>
          <w:sz w:val="22"/>
          <w:szCs w:val="22"/>
        </w:rPr>
        <w:t xml:space="preserve">Burn-in testing (24-72 hours, configurable temperature and load profiles)</w:t>
      </w:r>
    </w:p>
    <w:p>
      <w:pPr>
        <w:pStyle w:val="ListParagraph"/>
        <w:numPr>
          <w:ilvl w:val="0"/>
          <w:numId w:val="2"/>
        </w:numPr>
        <w:spacing w:after="80"/>
      </w:pPr>
      <w:r>
        <w:rPr>
          <w:rFonts w:ascii="Lato" w:cs="Lato" w:eastAsia="Lato" w:hAnsi="Lato"/>
          <w:color w:val="333333"/>
          <w:sz w:val="22"/>
          <w:szCs w:val="22"/>
        </w:rPr>
        <w:t xml:space="preserve">Hi-Pot / high-potential voltage testing (up to 5,000V AC/DC)</w:t>
      </w:r>
    </w:p>
    <w:p>
      <w:pPr>
        <w:pStyle w:val="ListParagraph"/>
        <w:numPr>
          <w:ilvl w:val="0"/>
          <w:numId w:val="2"/>
        </w:numPr>
        <w:spacing w:after="80"/>
      </w:pPr>
      <w:r>
        <w:rPr>
          <w:rFonts w:ascii="Lato" w:cs="Lato" w:eastAsia="Lato" w:hAnsi="Lato"/>
          <w:color w:val="333333"/>
          <w:sz w:val="22"/>
          <w:szCs w:val="22"/>
        </w:rPr>
        <w:t xml:space="preserve">Ground continuity testing</w:t>
      </w:r>
    </w:p>
    <w:p>
      <w:pPr>
        <w:pStyle w:val="ListParagraph"/>
        <w:numPr>
          <w:ilvl w:val="0"/>
          <w:numId w:val="2"/>
        </w:numPr>
        <w:spacing w:after="80"/>
      </w:pPr>
      <w:r>
        <w:rPr>
          <w:rFonts w:ascii="Lato" w:cs="Lato" w:eastAsia="Lato" w:hAnsi="Lato"/>
          <w:color w:val="333333"/>
          <w:sz w:val="22"/>
          <w:szCs w:val="22"/>
        </w:rPr>
        <w:t xml:space="preserve">Cable and harness continuity testing</w:t>
      </w:r>
    </w:p>
    <w:p>
      <w:pPr>
        <w:pStyle w:val="ListParagraph"/>
        <w:numPr>
          <w:ilvl w:val="0"/>
          <w:numId w:val="2"/>
        </w:numPr>
        <w:spacing w:after="80"/>
      </w:pPr>
      <w:r>
        <w:rPr>
          <w:rFonts w:ascii="Lato" w:cs="Lato" w:eastAsia="Lato" w:hAnsi="Lato"/>
          <w:color w:val="333333"/>
          <w:sz w:val="22"/>
          <w:szCs w:val="22"/>
        </w:rPr>
        <w:t xml:space="preserve">Visual inspection per IPC-A-610 and IPC-A-620 workmanship standards</w:t>
      </w:r>
    </w:p>
    <w:p>
      <w:pPr>
        <w:pStyle w:val="ListParagraph"/>
        <w:numPr>
          <w:ilvl w:val="0"/>
          <w:numId w:val="2"/>
        </w:numPr>
        <w:spacing w:after="80"/>
      </w:pPr>
      <w:r>
        <w:rPr>
          <w:rFonts w:ascii="Lato" w:cs="Lato" w:eastAsia="Lato" w:hAnsi="Lato"/>
          <w:color w:val="333333"/>
          <w:sz w:val="22"/>
          <w:szCs w:val="22"/>
        </w:rPr>
        <w:t xml:space="preserve">Dimensional inspection with calibrated measurement equipment</w:t>
      </w:r>
    </w:p>
    <w:p>
      <w:pPr>
        <w:pStyle w:val="ListParagraph"/>
        <w:numPr>
          <w:ilvl w:val="0"/>
          <w:numId w:val="2"/>
        </w:numPr>
        <w:spacing w:after="80"/>
      </w:pPr>
      <w:r>
        <w:rPr>
          <w:rFonts w:ascii="Lato" w:cs="Lato" w:eastAsia="Lato" w:hAnsi="Lato"/>
          <w:color w:val="333333"/>
          <w:sz w:val="22"/>
          <w:szCs w:val="22"/>
        </w:rPr>
        <w:t xml:space="preserve">Environmental stress testing (thermal cycling, vibration, humidity)</w:t>
      </w:r>
    </w:p>
    <w:p>
      <w:pPr>
        <w:spacing w:after="160"/>
      </w:pPr>
      <w:r>
        <w:rPr>
          <w:rFonts w:ascii="Lato" w:cs="Lato" w:eastAsia="Lato" w:hAnsi="Lato"/>
          <w:b/>
          <w:bCs/>
          <w:color w:val="23555A"/>
          <w:sz w:val="22"/>
          <w:szCs w:val="22"/>
        </w:rPr>
        <w:t xml:space="preserve">Documentation and traceability:</w:t>
      </w:r>
    </w:p>
    <w:p>
      <w:pPr>
        <w:pStyle w:val="ListParagraph"/>
        <w:numPr>
          <w:ilvl w:val="0"/>
          <w:numId w:val="2"/>
        </w:numPr>
        <w:spacing w:after="80"/>
      </w:pPr>
      <w:r>
        <w:rPr>
          <w:rFonts w:ascii="Lato" w:cs="Lato" w:eastAsia="Lato" w:hAnsi="Lato"/>
          <w:color w:val="333333"/>
          <w:sz w:val="22"/>
          <w:szCs w:val="22"/>
        </w:rPr>
        <w:t xml:space="preserve">Serialized test records tied to unit serial numbers</w:t>
      </w:r>
    </w:p>
    <w:p>
      <w:pPr>
        <w:pStyle w:val="ListParagraph"/>
        <w:numPr>
          <w:ilvl w:val="0"/>
          <w:numId w:val="2"/>
        </w:numPr>
        <w:spacing w:after="80"/>
      </w:pPr>
      <w:r>
        <w:rPr>
          <w:rFonts w:ascii="Lato" w:cs="Lato" w:eastAsia="Lato" w:hAnsi="Lato"/>
          <w:color w:val="333333"/>
          <w:sz w:val="22"/>
          <w:szCs w:val="22"/>
        </w:rPr>
        <w:t xml:space="preserve">Digital test data archiving with customer-accessible reports</w:t>
      </w:r>
    </w:p>
    <w:p>
      <w:pPr>
        <w:pStyle w:val="ListParagraph"/>
        <w:numPr>
          <w:ilvl w:val="0"/>
          <w:numId w:val="2"/>
        </w:numPr>
        <w:spacing w:after="80"/>
      </w:pPr>
      <w:r>
        <w:rPr>
          <w:rFonts w:ascii="Lato" w:cs="Lato" w:eastAsia="Lato" w:hAnsi="Lato"/>
          <w:color w:val="333333"/>
          <w:sz w:val="22"/>
          <w:szCs w:val="22"/>
        </w:rPr>
        <w:t xml:space="preserve">Device history records (DHR) for medical programs</w:t>
      </w:r>
    </w:p>
    <w:p>
      <w:pPr>
        <w:pStyle w:val="ListParagraph"/>
        <w:numPr>
          <w:ilvl w:val="0"/>
          <w:numId w:val="2"/>
        </w:numPr>
        <w:spacing w:after="80"/>
      </w:pPr>
      <w:r>
        <w:rPr>
          <w:rFonts w:ascii="Lato" w:cs="Lato" w:eastAsia="Lato" w:hAnsi="Lato"/>
          <w:color w:val="333333"/>
          <w:sz w:val="22"/>
          <w:szCs w:val="22"/>
        </w:rPr>
        <w:t xml:space="preserve">Certificates of conformance for aerospace and defense</w:t>
      </w:r>
    </w:p>
    <w:p>
      <w:pPr>
        <w:pStyle w:val="ListParagraph"/>
        <w:numPr>
          <w:ilvl w:val="0"/>
          <w:numId w:val="2"/>
        </w:numPr>
        <w:spacing w:after="80"/>
      </w:pPr>
      <w:r>
        <w:rPr>
          <w:rFonts w:ascii="Lato" w:cs="Lato" w:eastAsia="Lato" w:hAnsi="Lato"/>
          <w:color w:val="333333"/>
          <w:sz w:val="22"/>
          <w:szCs w:val="22"/>
        </w:rPr>
        <w:t xml:space="preserve">First article inspection reports (FAIR) per AS9102</w:t>
      </w:r>
    </w:p>
    <w:p>
      <w:pPr>
        <w:pStyle w:val="ListParagraph"/>
        <w:numPr>
          <w:ilvl w:val="0"/>
          <w:numId w:val="2"/>
        </w:numPr>
        <w:spacing w:after="80"/>
      </w:pPr>
      <w:r>
        <w:rPr>
          <w:rFonts w:ascii="Lato" w:cs="Lato" w:eastAsia="Lato" w:hAnsi="Lato"/>
          <w:color w:val="333333"/>
          <w:sz w:val="22"/>
          <w:szCs w:val="22"/>
        </w:rPr>
        <w:t xml:space="preserve">Statistical process control (SPC) data for high-volume programs</w:t>
      </w:r>
    </w:p>
    <w:p>
      <w:pPr>
        <w:spacing w:after="160"/>
      </w:pPr>
      <w:r>
        <w:rPr>
          <w:rFonts w:ascii="Lato" w:cs="Lato" w:eastAsia="Lato" w:hAnsi="Lato"/>
          <w:b/>
          <w:bCs/>
          <w:color w:val="23555A"/>
          <w:sz w:val="22"/>
          <w:szCs w:val="22"/>
        </w:rPr>
        <w:t xml:space="preserve">Quality standards:</w:t>
      </w:r>
    </w:p>
    <w:p>
      <w:pPr>
        <w:pStyle w:val="ListParagraph"/>
        <w:numPr>
          <w:ilvl w:val="0"/>
          <w:numId w:val="2"/>
        </w:numPr>
        <w:spacing w:after="80"/>
      </w:pPr>
      <w:r>
        <w:rPr>
          <w:rFonts w:ascii="Lato" w:cs="Lato" w:eastAsia="Lato" w:hAnsi="Lato"/>
          <w:color w:val="333333"/>
          <w:sz w:val="22"/>
          <w:szCs w:val="22"/>
        </w:rPr>
        <w:t xml:space="preserve">IPC-A-610 (electronic assemblies) — workmanship standards followed, certification in progress</w:t>
      </w:r>
    </w:p>
    <w:p>
      <w:pPr>
        <w:pStyle w:val="ListParagraph"/>
        <w:numPr>
          <w:ilvl w:val="0"/>
          <w:numId w:val="2"/>
        </w:numPr>
        <w:spacing w:after="80"/>
      </w:pPr>
      <w:r>
        <w:rPr>
          <w:rFonts w:ascii="Lato" w:cs="Lato" w:eastAsia="Lato" w:hAnsi="Lato"/>
          <w:color w:val="333333"/>
          <w:sz w:val="22"/>
          <w:szCs w:val="22"/>
        </w:rPr>
        <w:t xml:space="preserve">IPC-A-620 (cable and wire harness) — workmanship standards followed, certification in progress</w:t>
      </w:r>
    </w:p>
    <w:p>
      <w:pPr>
        <w:pStyle w:val="ListParagraph"/>
        <w:numPr>
          <w:ilvl w:val="0"/>
          <w:numId w:val="2"/>
        </w:numPr>
        <w:spacing w:after="80"/>
      </w:pPr>
      <w:r>
        <w:rPr>
          <w:rFonts w:ascii="Lato" w:cs="Lato" w:eastAsia="Lato" w:hAnsi="Lato"/>
          <w:color w:val="333333"/>
          <w:sz w:val="22"/>
          <w:szCs w:val="22"/>
        </w:rPr>
        <w:t xml:space="preserve">ISO 9001 certification in progress</w:t>
      </w:r>
    </w:p>
    <w:p>
      <w:pPr>
        <w:pStyle w:val="ListParagraph"/>
        <w:numPr>
          <w:ilvl w:val="0"/>
          <w:numId w:val="2"/>
        </w:numPr>
        <w:spacing w:after="80"/>
      </w:pPr>
      <w:r>
        <w:rPr>
          <w:rFonts w:ascii="Lato" w:cs="Lato" w:eastAsia="Lato" w:hAnsi="Lato"/>
          <w:color w:val="333333"/>
          <w:sz w:val="22"/>
          <w:szCs w:val="22"/>
        </w:rPr>
        <w:t xml:space="preserve">Industry-specific standards (AS9100, IATF 16949, FDA QSR) pursued per program requirements</w:t>
      </w:r>
    </w:p>
    <w:p>
      <w:pPr>
        <w:spacing w:after="120" w:before="240"/>
      </w:pPr>
      <w:r>
        <w:rPr>
          <w:rFonts w:ascii="Trirong" w:cs="Trirong" w:eastAsia="Trirong" w:hAnsi="Trirong"/>
          <w:b/>
          <w:bCs/>
          <w:color w:val="23555A"/>
          <w:sz w:val="24"/>
          <w:szCs w:val="24"/>
        </w:rPr>
        <w:t xml:space="preserve">GPW vs. Typical EMS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Aspect</w:t>
            </w:r>
          </w:p>
        </w:tc>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GPW (Integrated Testing)</w:t>
            </w:r>
          </w:p>
        </w:tc>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Typical EMS Provider</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Test protocol design</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Product-specific, customer-approved before production</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Generic templates adapted from other programs</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Quality gate placement</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In-line at critical stations throughout assembly</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End-of-line only; defects propagate through process</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Fixture design</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Custom fixtures designed and built in-house</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Off-the-shelf adapters; customer provides fixtures</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Failure analysis</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Root cause analysis with corrective action feedback</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Pass/fail sorting; failures returned to customer</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Documentation</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Serialized records with full traceability per unit</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Batch-level test reports; limited per-unit data</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Burn-in capability</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Dedicated racks with continuous monitoring</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Outsourced or not available</w:t>
            </w:r>
          </w:p>
        </w:tc>
      </w:tr>
    </w:tbl>
    <w:p>
      <w:pPr>
        <w:spacing w:after="160"/>
      </w:pPr>
      <w:r>
        <w:rPr>
          <w:rFonts w:ascii="Lato" w:cs="Lato" w:eastAsia="Lato" w:hAnsi="Lato"/>
          <w:color w:val="333333"/>
          <w:sz w:val="22"/>
          <w:szCs w:val="22"/>
        </w:rPr>
        <w:t xml:space="preserve">Most EMS providers run testing as a downstream filter — finished assemblies arrive at the test bench, and the test department decides which ones ship. When failures occur, the feedback loop to production takes days. Defects repeat because the information travels slowly.</w:t>
      </w:r>
    </w:p>
    <w:p>
      <w:pPr>
        <w:spacing w:after="160"/>
      </w:pPr>
      <w:r>
        <w:rPr>
          <w:rFonts w:ascii="Lato" w:cs="Lato" w:eastAsia="Lato" w:hAnsi="Lato"/>
          <w:color w:val="333333"/>
          <w:sz w:val="22"/>
          <w:szCs w:val="22"/>
        </w:rPr>
        <w:t xml:space="preserve">The fundamental difference: GPW treats testing as a production discipline, not a quality department function. The engineers who design the assembly process design the test protocol. The quality gates are part of the production flow — positioned where they catch defects earliest. This integrated approach prevents more defects than any amount of end-of-line testing can catch after the fact.</w:t>
      </w:r>
    </w:p>
    <w:p>
      <w:pPr>
        <w:spacing w:after="160"/>
      </w:pPr>
      <w:r>
        <w:rPr>
          <w:rFonts w:ascii="Lato" w:cs="Lato" w:eastAsia="Lato" w:hAnsi="Lato"/>
          <w:b/>
          <w:bCs/>
          <w:color w:val="ED835E"/>
          <w:sz w:val="22"/>
          <w:szCs w:val="22"/>
        </w:rPr>
        <w:t xml:space="preserve">CTA Context: </w:t>
      </w:r>
      <w:r>
        <w:rPr>
          <w:rFonts w:ascii="Lato" w:cs="Lato" w:eastAsia="Lato" w:hAnsi="Lato"/>
          <w:color w:val="333333"/>
          <w:sz w:val="22"/>
          <w:szCs w:val="22"/>
        </w:rPr>
        <w:t xml:space="preserve">GPW's testing protocols are engineered for your specific product. Every program gets a documented test plan, custom fixtures, and traceable results — from first article through sustained production.</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6: Frequently Asked Questions</w:t>
      </w:r>
    </w:p>
    <w:p>
      <w:pPr>
        <w:spacing w:after="160"/>
      </w:pPr>
      <w:r>
        <w:rPr>
          <w:rFonts w:ascii="Lato" w:cs="Lato" w:eastAsia="Lato" w:hAnsi="Lato"/>
          <w:b/>
          <w:bCs/>
          <w:color w:val="2A4E64"/>
          <w:sz w:val="22"/>
          <w:szCs w:val="22"/>
        </w:rPr>
        <w:t xml:space="preserve">What types of testing does GPW perform?</w:t>
      </w:r>
    </w:p>
    <w:p>
      <w:pPr>
        <w:spacing w:after="160"/>
      </w:pPr>
      <w:r>
        <w:rPr>
          <w:rFonts w:ascii="Lato" w:cs="Lato" w:eastAsia="Lato" w:hAnsi="Lato"/>
          <w:color w:val="333333"/>
          <w:sz w:val="22"/>
          <w:szCs w:val="22"/>
        </w:rPr>
        <w:t xml:space="preserve">GPW performs functional testing, burn-in testing, Hi-Pot and ground continuity testing, cable continuity testing, visual inspection per IPC-A-610/A-620, dimensional inspection, and environmental stress testing. Each program receives a product-specific test protocol designed for its requirements — not a generic checklist.</w:t>
      </w:r>
    </w:p>
    <w:p>
      <w:pPr>
        <w:spacing w:after="160"/>
      </w:pPr>
      <w:r>
        <w:rPr>
          <w:rFonts w:ascii="Lato" w:cs="Lato" w:eastAsia="Lato" w:hAnsi="Lato"/>
          <w:b/>
          <w:bCs/>
          <w:color w:val="2A4E64"/>
          <w:sz w:val="22"/>
          <w:szCs w:val="22"/>
        </w:rPr>
        <w:t xml:space="preserve">What is the difference between functional testing and burn-in testing?</w:t>
      </w:r>
    </w:p>
    <w:p>
      <w:pPr>
        <w:spacing w:after="160"/>
      </w:pPr>
      <w:r>
        <w:rPr>
          <w:rFonts w:ascii="Lato" w:cs="Lato" w:eastAsia="Lato" w:hAnsi="Lato"/>
          <w:color w:val="333333"/>
          <w:sz w:val="22"/>
          <w:szCs w:val="22"/>
        </w:rPr>
        <w:t xml:space="preserve">Functional testing verifies that a product meets its design specifications at a point in time — power on, communication, performance parameters. Burn-in testing runs the product under sustained load and elevated temperature for 24-72 hours to identify early-life failures that functional testing alone cannot detect.</w:t>
      </w:r>
    </w:p>
    <w:p>
      <w:pPr>
        <w:spacing w:after="160"/>
      </w:pPr>
      <w:r>
        <w:rPr>
          <w:rFonts w:ascii="Lato" w:cs="Lato" w:eastAsia="Lato" w:hAnsi="Lato"/>
          <w:b/>
          <w:bCs/>
          <w:color w:val="2A4E64"/>
          <w:sz w:val="22"/>
          <w:szCs w:val="22"/>
        </w:rPr>
        <w:t xml:space="preserve">Does GPW design custom test fixtures?</w:t>
      </w:r>
    </w:p>
    <w:p>
      <w:pPr>
        <w:spacing w:after="160"/>
      </w:pPr>
      <w:r>
        <w:rPr>
          <w:rFonts w:ascii="Lato" w:cs="Lato" w:eastAsia="Lato" w:hAnsi="Lato"/>
          <w:color w:val="333333"/>
          <w:sz w:val="22"/>
          <w:szCs w:val="22"/>
        </w:rPr>
        <w:t xml:space="preserve">Yes. GPW designs and builds test fixtures in-house for each program: functional test beds, cable continuity jigs, burn-in racks, and inspection fixtures. The fixtures are validated during the first article build and maintained as production tooling throughout the program life cycle.</w:t>
      </w:r>
    </w:p>
    <w:p>
      <w:pPr>
        <w:spacing w:after="160"/>
      </w:pPr>
      <w:r>
        <w:rPr>
          <w:rFonts w:ascii="Lato" w:cs="Lato" w:eastAsia="Lato" w:hAnsi="Lato"/>
          <w:b/>
          <w:bCs/>
          <w:color w:val="2A4E64"/>
          <w:sz w:val="22"/>
          <w:szCs w:val="22"/>
        </w:rPr>
        <w:t xml:space="preserve">How does GPW handle test failures?</w:t>
      </w:r>
    </w:p>
    <w:p>
      <w:pPr>
        <w:spacing w:after="160"/>
      </w:pPr>
      <w:r>
        <w:rPr>
          <w:rFonts w:ascii="Lato" w:cs="Lato" w:eastAsia="Lato" w:hAnsi="Lato"/>
          <w:color w:val="333333"/>
          <w:sz w:val="22"/>
          <w:szCs w:val="22"/>
        </w:rPr>
        <w:t xml:space="preserve">Technicians route failed units to a dedicated rework or diagnostic station. The team documents the failure, performs root cause analysis, and implements corrective action. Reworked units must pass the original test gate before continuing through production. Failure data feeds back into engineering for process improvement.</w:t>
      </w:r>
    </w:p>
    <w:p>
      <w:pPr>
        <w:spacing w:after="160"/>
      </w:pPr>
      <w:r>
        <w:rPr>
          <w:rFonts w:ascii="Lato" w:cs="Lato" w:eastAsia="Lato" w:hAnsi="Lato"/>
          <w:b/>
          <w:bCs/>
          <w:color w:val="2A4E64"/>
          <w:sz w:val="22"/>
          <w:szCs w:val="22"/>
        </w:rPr>
        <w:t xml:space="preserve">What documentation comes with tested products?</w:t>
      </w:r>
    </w:p>
    <w:p>
      <w:pPr>
        <w:spacing w:after="160"/>
      </w:pPr>
      <w:r>
        <w:rPr>
          <w:rFonts w:ascii="Lato" w:cs="Lato" w:eastAsia="Lato" w:hAnsi="Lato"/>
          <w:color w:val="333333"/>
          <w:sz w:val="22"/>
          <w:szCs w:val="22"/>
        </w:rPr>
        <w:t xml:space="preserve">Every unit carries a serialized test record tied to its serial number. Depending on the program, documentation includes functional test results, burn-in logs, certificates of conformance, device history records (medical), first article inspection reports (aerospace), and SPC data (high-volume programs).</w:t>
      </w:r>
    </w:p>
    <w:p>
      <w:pPr>
        <w:spacing w:after="160"/>
      </w:pPr>
      <w:r>
        <w:rPr>
          <w:rFonts w:ascii="Lato" w:cs="Lato" w:eastAsia="Lato" w:hAnsi="Lato"/>
          <w:b/>
          <w:bCs/>
          <w:color w:val="2A4E64"/>
          <w:sz w:val="22"/>
          <w:szCs w:val="22"/>
        </w:rPr>
        <w:t xml:space="preserve">What certifications apply to GPW's testing services?</w:t>
      </w:r>
    </w:p>
    <w:p>
      <w:pPr>
        <w:spacing w:after="160"/>
      </w:pPr>
      <w:r>
        <w:rPr>
          <w:rFonts w:ascii="Lato" w:cs="Lato" w:eastAsia="Lato" w:hAnsi="Lato"/>
          <w:color w:val="333333"/>
          <w:sz w:val="22"/>
          <w:szCs w:val="22"/>
        </w:rPr>
        <w:t xml:space="preserve">GPW is pursuing IPC-A-610 (electronic assembly), IPC-A-620 (cable and wire harness), and ISO 9001 certifications. All testing processes already follow these workmanship standards. Industry-specific certifications — AS9100 for aerospace, IATF 16949 for automotive — are pursued as customer programs require.</w:t>
      </w:r>
    </w:p>
    <w:p>
      <w:pPr>
        <w:spacing w:after="160"/>
      </w:pPr>
      <w:r>
        <w:rPr>
          <w:rFonts w:ascii="Lato" w:cs="Lato" w:eastAsia="Lato" w:hAnsi="Lato"/>
          <w:b/>
          <w:bCs/>
          <w:color w:val="2A4E64"/>
          <w:sz w:val="22"/>
          <w:szCs w:val="22"/>
        </w:rPr>
        <w:t xml:space="preserve">Can GPW develop test protocols for new products?</w:t>
      </w:r>
    </w:p>
    <w:p>
      <w:pPr>
        <w:spacing w:after="160"/>
      </w:pPr>
      <w:r>
        <w:rPr>
          <w:rFonts w:ascii="Lato" w:cs="Lato" w:eastAsia="Lato" w:hAnsi="Lato"/>
          <w:color w:val="333333"/>
          <w:sz w:val="22"/>
          <w:szCs w:val="22"/>
        </w:rPr>
        <w:t xml:space="preserve">Yes. GPW's engineering team designs test protocols from scratch based on the product's electrical specifications, mechanical tolerances, performance criteria, and regulatory requirements. The protocol is reviewed and approved by the customer before production begins. Protocol development is included in the NPI timeline.</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7: Define Your Testing Requirements</w:t>
      </w:r>
    </w:p>
    <w:p>
      <w:pPr>
        <w:spacing w:after="160"/>
      </w:pPr>
      <w:r>
        <w:rPr>
          <w:rFonts w:ascii="Lato" w:cs="Lato" w:eastAsia="Lato" w:hAnsi="Lato"/>
          <w:color w:val="333333"/>
          <w:sz w:val="22"/>
          <w:szCs w:val="22"/>
        </w:rPr>
        <w:t xml:space="preserve">Every assembly program at GPW starts with a test protocol designed for your product. Submit your specifications, test requirements, and compliance standards. GPW's engineering team responds within 2 business days with a proposed test approach, fixture requirements, and preliminary timeline.</w:t>
      </w:r>
    </w:p>
    <w:p>
      <w:pPr>
        <w:spacing w:after="160"/>
      </w:pPr>
      <w:r>
        <w:rPr>
          <w:rFonts w:ascii="Lato" w:cs="Lato" w:eastAsia="Lato" w:hAnsi="Lato"/>
          <w:b/>
          <w:bCs/>
          <w:color w:val="ED835E"/>
          <w:sz w:val="22"/>
          <w:szCs w:val="22"/>
        </w:rPr>
        <w:t xml:space="preserve">CTA Context: </w:t>
      </w:r>
      <w:r>
        <w:rPr>
          <w:rFonts w:ascii="Lato" w:cs="Lato" w:eastAsia="Lato" w:hAnsi="Lato"/>
          <w:color w:val="333333"/>
          <w:sz w:val="22"/>
          <w:szCs w:val="22"/>
        </w:rPr>
        <w:t xml:space="preserve">No minimum order quantities. From prototype validation through production-volume testing. Engineered for your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spacing w:before="200"/>
      </w:pPr>
    </w:p>
    <w:p>
      <w:pPr>
        <w:spacing w:after="160"/>
      </w:pPr>
      <w:r>
        <w:rPr>
          <w:rFonts w:ascii="Lato" w:cs="Lato" w:eastAsia="Lato" w:hAnsi="Lato"/>
          <w:b/>
          <w:bCs/>
          <w:color w:val="ED835E"/>
          <w:sz w:val="22"/>
          <w:szCs w:val="22"/>
        </w:rPr>
        <w:t xml:space="preserve">CTA Context: </w:t>
      </w:r>
      <w:r>
        <w:rPr>
          <w:rFonts w:ascii="Lato" w:cs="Lato" w:eastAsia="Lato" w:hAnsi="Lato"/>
          <w:color w:val="333333"/>
          <w:sz w:val="22"/>
          <w:szCs w:val="22"/>
        </w:rPr>
        <w:t xml:space="preserve">Looking for a specific assembly service? Explore how GPW's testing integrates with the full assembly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3555A" w:val="clear"/>
            <w:tcMar>
              <w:top w:type="dxa" w:w="160"/>
              <w:left w:type="dxa" w:w="200"/>
              <w:bottom w:type="dxa" w:w="160"/>
              <w:right w:type="dxa" w:w="200"/>
            </w:tcMar>
          </w:tcPr>
          <w:p>
            <w:pPr>
              <w:jc w:val="center"/>
            </w:pPr>
            <w:r>
              <w:rPr>
                <w:rFonts w:ascii="Lato" w:cs="Lato" w:eastAsia="Lato" w:hAnsi="Lato"/>
                <w:b/>
                <w:bCs/>
                <w:color w:val="FFFFFF"/>
                <w:sz w:val="24"/>
                <w:szCs w:val="24"/>
              </w:rPr>
              <w:t xml:space="preserve">Explore System Integration →</w:t>
            </w:r>
          </w:p>
        </w:tc>
      </w:tr>
    </w:tbl>
    <w:p>
      <w:pPr>
        <w:spacing w:before="200"/>
      </w:pPr>
    </w:p>
    <w:p>
      <w:pPr>
        <w:spacing w:after="160"/>
      </w:pPr>
      <w:r>
        <w:rPr>
          <w:rFonts w:ascii="Lato" w:cs="Lato" w:eastAsia="Lato" w:hAnsi="Lato"/>
          <w:b/>
          <w:bCs/>
          <w:color w:val="23555A"/>
          <w:sz w:val="22"/>
          <w:szCs w:val="22"/>
        </w:rPr>
        <w:t xml:space="preserve">Contact:</w:t>
      </w:r>
    </w:p>
    <w:p>
      <w:pPr>
        <w:pStyle w:val="ListParagraph"/>
        <w:numPr>
          <w:ilvl w:val="0"/>
          <w:numId w:val="2"/>
        </w:numPr>
        <w:spacing w:after="80"/>
      </w:pPr>
      <w:r>
        <w:rPr>
          <w:rFonts w:ascii="Lato" w:cs="Lato" w:eastAsia="Lato" w:hAnsi="Lato"/>
          <w:color w:val="333333"/>
          <w:sz w:val="22"/>
          <w:szCs w:val="22"/>
        </w:rPr>
        <w:t xml:space="preserve">Email: rfq@gpw-solutions.com</w:t>
      </w:r>
    </w:p>
    <w:p>
      <w:pPr>
        <w:pStyle w:val="ListParagraph"/>
        <w:numPr>
          <w:ilvl w:val="0"/>
          <w:numId w:val="2"/>
        </w:numPr>
        <w:spacing w:after="80"/>
      </w:pPr>
      <w:r>
        <w:rPr>
          <w:rFonts w:ascii="Lato" w:cs="Lato" w:eastAsia="Lato" w:hAnsi="Lato"/>
          <w:color w:val="333333"/>
          <w:sz w:val="22"/>
          <w:szCs w:val="22"/>
        </w:rPr>
        <w:t xml:space="preserve">Phone: +52 (81) XXXX-XXXX</w:t>
      </w:r>
    </w:p>
    <w:p>
      <w:pPr>
        <w:pStyle w:val="ListParagraph"/>
        <w:numPr>
          <w:ilvl w:val="0"/>
          <w:numId w:val="2"/>
        </w:numPr>
        <w:spacing w:after="80"/>
      </w:pPr>
      <w:r>
        <w:rPr>
          <w:rFonts w:ascii="Lato" w:cs="Lato" w:eastAsia="Lato" w:hAnsi="Lato"/>
          <w:color w:val="333333"/>
          <w:sz w:val="22"/>
          <w:szCs w:val="22"/>
        </w:rPr>
        <w:t xml:space="preserve">Location: Monterrey, Nuevo León, Mexico</w:t>
      </w:r>
    </w:p>
    <w:p>
      <w:pPr>
        <w:pStyle w:val="ListParagraph"/>
        <w:numPr>
          <w:ilvl w:val="0"/>
          <w:numId w:val="2"/>
        </w:numPr>
        <w:spacing w:after="80"/>
      </w:pPr>
      <w:r>
        <w:rPr>
          <w:rFonts w:ascii="Lato" w:cs="Lato" w:eastAsia="Lato" w:hAnsi="Lato"/>
          <w:color w:val="333333"/>
          <w:sz w:val="22"/>
          <w:szCs w:val="22"/>
        </w:rPr>
        <w:t xml:space="preserve">USMCA-compliant production — duty-free shipping for qualifying products to the 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E0E0E0"/>
        <w:sz w:val="16"/>
        <w:szCs w:val="16"/>
      </w:rPr>
      <w:t xml:space="preserve">gpw-solutions.com  |  rfq@gpw-solutions.com  |  Page </w:t>
    </w:r>
    <w:r>
      <w:rPr>
        <w:rFonts w:ascii="Lato" w:cs="Lato" w:eastAsia="Lato" w:hAnsi="Lato"/>
        <w:color w:val="E0E0E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left"/>
    </w:pPr>
    <w:r>
      <w:rPr>
        <w:rFonts w:ascii="Trirong" w:cs="Trirong" w:eastAsia="Trirong" w:hAnsi="Trirong"/>
        <w:b/>
        <w:bCs/>
        <w:color w:val="23555A"/>
        <w:sz w:val="18"/>
        <w:szCs w:val="18"/>
      </w:rPr>
      <w:t xml:space="preserve">GLOBAL PRECISION WORKS</w:t>
    </w:r>
    <w:r>
      <w:rPr>
        <w:rFonts w:ascii="Lato" w:cs="Lato" w:eastAsia="Lato" w:hAnsi="Lato"/>
        <w:color w:val="2A4E64"/>
        <w:sz w:val="18"/>
        <w:szCs w:val="18"/>
      </w:rPr>
      <w:t xml:space="preserve">  |  Testing &amp; Inspection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2026-03-07T03:52:54.538Z</dcterms:created>
  <dcterms:modified xsi:type="dcterms:W3CDTF">2026-03-07T03:52:54.553Z</dcterms:modified>
</cp:coreProperties>
</file>

<file path=docProps/custom.xml><?xml version="1.0" encoding="utf-8"?>
<Properties xmlns="http://schemas.openxmlformats.org/officeDocument/2006/custom-properties" xmlns:vt="http://schemas.openxmlformats.org/officeDocument/2006/docPropsVTypes"/>
</file>