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QA VERIFICATION REPORT</w:t>
      </w:r>
    </w:p>
    <w:p>
      <w:pPr>
        <w:pStyle w:val="Heading2"/>
        <w:spacing w:after="400"/>
        <w:jc w:val="center"/>
      </w:pPr>
      <w:r>
        <w:t xml:space="preserve">gpw-factory-layout-v3.html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3555A" w:color="FFFFFF"/>
          </w:tcPr>
          <w:p>
            <w:r>
              <w:t xml:space="preserve">Date:</w:t>
            </w:r>
          </w:p>
        </w:tc>
        <w:tc>
          <w:tcPr>
            <w:shd w:fill="F5F5F5"/>
          </w:tcPr>
          <w:p>
            <w:r>
              <w:t xml:space="preserve">March 6, 2026</w:t>
            </w:r>
          </w:p>
        </w:tc>
      </w:tr>
      <w:tr>
        <w:tc>
          <w:tcPr>
            <w:shd w:fill="23555A" w:color="FFFFFF"/>
          </w:tcPr>
          <w:p>
            <w:r>
              <w:t xml:space="preserve">File Size:</w:t>
            </w:r>
          </w:p>
        </w:tc>
        <w:tc>
          <w:tcPr>
            <w:shd w:fill="F5F5F5"/>
          </w:tcPr>
          <w:p>
            <w:r>
              <w:t xml:space="preserve">2,044 lines</w:t>
            </w:r>
          </w:p>
        </w:tc>
      </w:tr>
      <w:tr>
        <w:tc>
          <w:tcPr>
            <w:shd w:fill="23555A" w:color="FFFFFF"/>
          </w:tcPr>
          <w:p>
            <w:r>
              <w:t xml:space="preserve">Status:</w:t>
            </w:r>
          </w:p>
        </w:tc>
        <w:tc>
          <w:tcPr>
            <w:shd w:fill="ADCF91"/>
          </w:tcPr>
          <w:p>
            <w:r>
              <w:t xml:space="preserve">✓ PRODUCTION READY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A4E64" w:color="FFFFFF"/>
          </w:tcPr>
          <w:p>
            <w:r>
              <w:t xml:space="preserve">Category</w:t>
            </w:r>
          </w:p>
        </w:tc>
        <w:tc>
          <w:tcPr>
            <w:shd w:fill="2A4E64" w:color="FFFFFF"/>
          </w:tcPr>
          <w:p>
            <w:r>
              <w:t xml:space="preserve">Result</w:t>
            </w:r>
          </w:p>
        </w:tc>
      </w:tr>
      <w:tr>
        <w:tc>
          <w:p>
            <w:r>
              <w:t xml:space="preserve">Critical Issues</w:t>
            </w:r>
          </w:p>
        </w:tc>
        <w:tc>
          <w:tcPr>
            <w:shd w:fill="ADCF91"/>
          </w:tcPr>
          <w:p>
            <w:r>
              <w:t xml:space="preserve">NONE</w:t>
            </w:r>
          </w:p>
        </w:tc>
      </w:tr>
      <w:tr>
        <w:tc>
          <w:p>
            <w:r>
              <w:t xml:space="preserve">High Priority Issues</w:t>
            </w:r>
          </w:p>
        </w:tc>
        <w:tc>
          <w:tcPr>
            <w:shd w:fill="ADCF91"/>
          </w:tcPr>
          <w:p>
            <w:r>
              <w:t xml:space="preserve">NONE</w:t>
            </w:r>
          </w:p>
        </w:tc>
      </w:tr>
      <w:tr>
        <w:tc>
          <w:p>
            <w:r>
              <w:t xml:space="preserve">Medium Priority Issues</w:t>
            </w:r>
          </w:p>
        </w:tc>
        <w:tc>
          <w:tcPr>
            <w:shd w:fill="ADCF91"/>
          </w:tcPr>
          <w:p>
            <w:r>
              <w:t xml:space="preserve">NONE</w:t>
            </w:r>
          </w:p>
        </w:tc>
      </w:tr>
      <w:tr>
        <w:tc>
          <w:p>
            <w:r>
              <w:t xml:space="preserve">Low Priority Issues</w:t>
            </w:r>
          </w:p>
        </w:tc>
        <w:tc>
          <w:tcPr>
            <w:shd w:fill="FFE5CC"/>
          </w:tcPr>
          <w:p>
            <w:r>
              <w:t xml:space="preserve">3 (HTML5 validation)</w:t>
            </w:r>
          </w:p>
        </w:tc>
      </w:tr>
      <w:tr>
        <w:tc>
          <w:tcPr>
            <w:shd w:fill="23555A" w:color="FFFFFF"/>
          </w:tcPr>
          <w:p>
            <w:r>
              <w:t xml:space="preserve">Overall Status</w:t>
            </w:r>
          </w:p>
        </w:tc>
        <w:tc>
          <w:tcPr>
            <w:shd w:fill="ADCF91" w:color="000000"/>
          </w:tcPr>
          <w:p>
            <w:r>
              <w:t xml:space="preserve">PASS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1. HTML VALIDITY</w:t>
      </w:r>
    </w:p>
    <w:p>
      <w:pPr>
        <w:pStyle w:val="Heading2"/>
        <w:spacing w:after="200"/>
      </w:pPr>
      <w:r>
        <w:t xml:space="preserve">Document Structure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A4E64" w:color="FFFFFF"/>
          </w:tcPr>
          <w:p>
            <w:r>
              <w:t xml:space="preserve">Element</w:t>
            </w:r>
          </w:p>
        </w:tc>
        <w:tc>
          <w:tcPr>
            <w:shd w:fill="2A4E64" w:color="FFFFFF"/>
          </w:tcPr>
          <w:p>
            <w:r>
              <w:t xml:space="preserve">Status</w:t>
            </w:r>
          </w:p>
        </w:tc>
        <w:tc>
          <w:tcPr>
            <w:shd w:fill="2A4E64" w:color="FFFFFF"/>
          </w:tcPr>
          <w:p>
            <w:r>
              <w:t xml:space="preserve">Details</w:t>
            </w:r>
          </w:p>
        </w:tc>
      </w:tr>
      <w:tr>
        <w:tc>
          <w:p>
            <w:r>
              <w:t xml:space="preserve">DOCTYPE</w:t>
            </w:r>
          </w:p>
        </w:tc>
        <w:tc>
          <w:tcPr>
            <w:shd w:fill="ADCF91"/>
          </w:tcPr>
          <w:p>
            <w:r>
              <w:t xml:space="preserve">✓</w:t>
            </w:r>
          </w:p>
        </w:tc>
        <w:tc>
          <w:p>
            <w:r>
              <w:t xml:space="preserve">Line 1: &lt;!DOCTYPE html&gt;</w:t>
            </w:r>
          </w:p>
        </w:tc>
      </w:tr>
      <w:tr>
        <w:tc>
          <w:p>
            <w:r>
              <w:t xml:space="preserve">&lt;html&gt;</w:t>
            </w:r>
          </w:p>
        </w:tc>
        <w:tc>
          <w:tcPr>
            <w:shd w:fill="ADCF91"/>
          </w:tcPr>
          <w:p>
            <w:r>
              <w:t xml:space="preserve">✓</w:t>
            </w:r>
          </w:p>
        </w:tc>
        <w:tc>
          <w:p>
            <w:r>
              <w:t xml:space="preserve">Line 2: &lt;html lang="en"&gt;</w:t>
            </w:r>
          </w:p>
        </w:tc>
      </w:tr>
      <w:tr>
        <w:tc>
          <w:p>
            <w:r>
              <w:t xml:space="preserve">&lt;head&gt;</w:t>
            </w:r>
          </w:p>
        </w:tc>
        <w:tc>
          <w:tcPr>
            <w:shd w:fill="ADCF91"/>
          </w:tcPr>
          <w:p>
            <w:r>
              <w:t xml:space="preserve">✓</w:t>
            </w:r>
          </w:p>
        </w:tc>
        <w:tc>
          <w:p>
            <w:r>
              <w:t xml:space="preserve">Meta, title, styles present</w:t>
            </w:r>
          </w:p>
        </w:tc>
      </w:tr>
      <w:tr>
        <w:tc>
          <w:p>
            <w:r>
              <w:t xml:space="preserve">&lt;body&gt;</w:t>
            </w:r>
          </w:p>
        </w:tc>
        <w:tc>
          <w:tcPr>
            <w:shd w:fill="ADCF91"/>
          </w:tcPr>
          <w:p>
            <w:r>
              <w:t xml:space="preserve">✓</w:t>
            </w:r>
          </w:p>
        </w:tc>
        <w:tc>
          <w:p>
            <w:r>
              <w:t xml:space="preserve">Lines 678-2043, properly closed</w:t>
            </w:r>
          </w:p>
        </w:tc>
      </w:tr>
    </w:tbl>
    <w:p>
      <w:pPr>
        <w:spacing w:after="200"/>
      </w:pPr>
    </w:p>
    <w:p>
      <w:pPr>
        <w:pStyle w:val="Heading3"/>
        <w:spacing w:after="200"/>
      </w:pPr>
      <w:r>
        <w:t xml:space="preserve">HTML5 Validation Warnings</w:t>
      </w:r>
    </w:p>
    <w:p>
      <w:pPr>
        <w:spacing w:after="100"/>
      </w:pPr>
      <w:r>
        <w:t xml:space="preserve">Note: Minor warnings detected from strict XML parsing. Browsers render content correctly despite these warnings:</w:t>
      </w:r>
    </w:p>
    <w:p>
      <w:pPr>
        <w:spacing w:after="50"/>
      </w:pPr>
      <w:r>
        <w:t xml:space="preserve">• Line 8: crossorigin attribute missing value (low impact)</w:t>
      </w:r>
    </w:p>
    <w:p>
      <w:pPr>
        <w:spacing w:after="50"/>
      </w:pPr>
      <w:r>
        <w:t xml:space="preserve">• Line 9: Unescaped ampersands in Google Fonts URL (low impact)</w:t>
      </w:r>
    </w:p>
    <w:p>
      <w:pPr>
        <w:spacing w:after="200"/>
      </w:pPr>
      <w:r>
        <w:t xml:space="preserve">• Line 1045+: Unescaped ampersands in SVG text (low impact)</w:t>
      </w:r>
    </w:p>
    <w:r>
      <w:br w:type="page"/>
    </w:r>
    <w:p>
      <w:pPr>
        <w:pStyle w:val="Heading1"/>
        <w:spacing w:after="200" w:before="400"/>
      </w:pPr>
      <w:r>
        <w:t xml:space="preserve">2. ALL 26 ZONES PRESENT IN SVG</w:t>
      </w:r>
    </w:p>
    <w:p>
      <w:pPr>
        <w:pStyle w:val="Heading2"/>
        <w:spacing w:after="200"/>
      </w:pPr>
      <w:r>
        <w:t xml:space="preserve">Zone Inventory Complete</w:t>
      </w:r>
    </w:p>
    <w:p>
      <w:pPr>
        <w:spacing w:after="200"/>
      </w:pPr>
      <w:r>
        <w:t xml:space="preserve">Total Zones: 26 (all present and properly configured)</w:t>
      </w:r>
    </w:p>
    <w:p>
      <w:pPr>
        <w:spacing w:after="200"/>
      </w:pPr>
      <w:r>
        <w:t xml:space="preserve">Production Zones (16): Receiving Dock, Raw Material Storage, ESD Gowning Anteroom, Kitting Area, Sub-Assembly, Box Assembly, Cable Management, Rack Assembly, Firmware Loading, EOL Testing, Rework Station, Pre-Burn-in, Burn-in Room, Post-Burn-in, Quality Lab, Packaging</w:t>
      </w:r>
    </w:p>
    <w:p>
      <w:pPr>
        <w:spacing w:after="200"/>
      </w:pPr>
      <w:r>
        <w:t xml:space="preserve">Support Zones (10): Finished Goods, Shipping, Tool Crib, IT/MES, Mechanical, Battery, Hazmat, Offices, Comedor, Training</w:t>
      </w:r>
    </w:p>
    <w:p>
      <w:pPr>
        <w:pStyle w:val="Heading3"/>
        <w:spacing w:after="100"/>
      </w:pPr>
      <w:r>
        <w:t xml:space="preserve">Verification Results:</w:t>
      </w:r>
    </w:p>
    <w:p>
      <w:pPr>
        <w:spacing w:after="50"/>
      </w:pPr>
      <w:r>
        <w:t xml:space="preserve">✓ All zones have SVG rect elements with data-zone attributes</w:t>
      </w:r>
    </w:p>
    <w:p>
      <w:pPr>
        <w:spacing w:after="50"/>
      </w:pPr>
      <w:r>
        <w:t xml:space="preserve">✓ Zone IDs sequential (1-26)</w:t>
      </w:r>
    </w:p>
    <w:p>
      <w:pPr>
        <w:spacing w:after="200"/>
      </w:pPr>
      <w:r>
        <w:t xml:space="preserve">✓ Each zone has proper name, area, color, category properties</w:t>
      </w:r>
    </w:p>
    <w:p>
      <w:pPr>
        <w:pStyle w:val="Heading1"/>
        <w:spacing w:after="200" w:before="400"/>
      </w:pPr>
      <w:r>
        <w:t xml:space="preserve">3. JAVASCRIPT ZONE DATA</w:t>
      </w:r>
    </w:p>
    <w:p>
      <w:pPr>
        <w:pStyle w:val="Heading2"/>
        <w:spacing w:after="200"/>
      </w:pPr>
      <w:r>
        <w:t xml:space="preserve">Zones Object Structure</w:t>
      </w:r>
    </w:p>
    <w:p>
      <w:pPr>
        <w:spacing w:after="200"/>
      </w:pPr>
      <w:r>
        <w:t xml:space="preserve">const zones = { 1: {...}, 2: {...}, ..., 26: {...} }</w:t>
      </w:r>
    </w:p>
    <w:p>
      <w:pPr>
        <w:pStyle w:val="Heading3"/>
        <w:spacing w:after="100"/>
      </w:pPr>
      <w:r>
        <w:t xml:space="preserve">All 26 zones contain complete properties:</w:t>
      </w:r>
    </w:p>
    <w:p>
      <w:pPr>
        <w:spacing w:after="50"/>
      </w:pPr>
      <w:r>
        <w:t xml:space="preserve">✓ name (string) - Zone display name</w:t>
      </w:r>
    </w:p>
    <w:p>
      <w:pPr>
        <w:spacing w:after="50"/>
      </w:pPr>
      <w:r>
        <w:t xml:space="preserve">✓ area (number) - Square footage</w:t>
      </w:r>
    </w:p>
    <w:p>
      <w:pPr>
        <w:spacing w:after="50"/>
      </w:pPr>
      <w:r>
        <w:t xml:space="preserve">✓ color (hex) - Visual color code</w:t>
      </w:r>
    </w:p>
    <w:p>
      <w:pPr>
        <w:spacing w:after="50"/>
      </w:pPr>
      <w:r>
        <w:t xml:space="preserve">✓ category (string) - "production" or "support"</w:t>
      </w:r>
    </w:p>
    <w:p>
      <w:pPr>
        <w:spacing w:after="50"/>
      </w:pPr>
      <w:r>
        <w:t xml:space="preserve">✓ esd (boolean) - ESD protection requirement</w:t>
      </w:r>
    </w:p>
    <w:p>
      <w:pPr>
        <w:spacing w:after="50"/>
      </w:pPr>
      <w:r>
        <w:t xml:space="preserve">✓ description (string) - Functional description</w:t>
      </w:r>
    </w:p>
    <w:p>
      <w:pPr>
        <w:spacing w:after="50"/>
      </w:pPr>
      <w:r>
        <w:t xml:space="preserve">✓ specs (array) - Technical specifications</w:t>
      </w:r>
    </w:p>
    <w:p>
      <w:pPr>
        <w:spacing w:after="50"/>
      </w:pPr>
      <w:r>
        <w:t xml:space="preserve">✓ equipment (array) - Equipment list</w:t>
      </w:r>
    </w:p>
    <w:p>
      <w:pPr>
        <w:spacing w:after="200"/>
      </w:pPr>
      <w:r>
        <w:t xml:space="preserve">✓ drilldown (string|null) - Drill-down ID if available</w:t>
      </w:r>
    </w:p>
    <w:r>
      <w:br w:type="page"/>
    </w:r>
    <w:p>
      <w:pPr>
        <w:pStyle w:val="Heading1"/>
        <w:spacing w:after="200" w:before="400"/>
      </w:pPr>
      <w:r>
        <w:t xml:space="preserve">4. DRILL-DOWN FUNCTIONS</w:t>
      </w:r>
    </w:p>
    <w:p>
      <w:pPr>
        <w:pStyle w:val="Heading2"/>
        <w:spacing w:after="200"/>
      </w:pPr>
      <w:r>
        <w:t xml:space="preserve">Drill-Down Architecture</w:t>
      </w:r>
    </w:p>
    <w:p>
      <w:pPr>
        <w:spacing w:after="200"/>
      </w:pPr>
      <w:r>
        <w:t xml:space="preserve">Five drill-down detailed layout views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A4E64" w:color="FFFFFF"/>
          </w:tcPr>
          <w:p>
            <w:r>
              <w:t xml:space="preserve">Drill-Down ID</w:t>
            </w:r>
          </w:p>
        </w:tc>
        <w:tc>
          <w:tcPr>
            <w:shd w:fill="2A4E64" w:color="FFFFFF"/>
          </w:tcPr>
          <w:p>
            <w:r>
              <w:t xml:space="preserve">Associated Zone</w:t>
            </w:r>
          </w:p>
        </w:tc>
        <w:tc>
          <w:tcPr>
            <w:shd w:fill="2A4E64" w:color="FFFFFF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subasm-drilldown</w:t>
            </w:r>
          </w:p>
        </w:tc>
        <w:tc>
          <w:p>
            <w:r>
              <w:t xml:space="preserve">Zone 5: Sub-Assembly</w:t>
            </w:r>
          </w:p>
        </w:tc>
        <w:tc>
          <w:p>
            <w:r>
              <w:t xml:space="preserve">4-station assembly line</w:t>
            </w:r>
          </w:p>
        </w:tc>
      </w:tr>
      <w:tr>
        <w:tc>
          <w:p>
            <w:r>
              <w:t xml:space="preserve">boxasm-drilldown</w:t>
            </w:r>
          </w:p>
        </w:tc>
        <w:tc>
          <w:p>
            <w:r>
              <w:t xml:space="preserve">Zone 6: Box Assembly</w:t>
            </w:r>
          </w:p>
        </w:tc>
        <w:tc>
          <w:p>
            <w:r>
              <w:t xml:space="preserve">Integration detail</w:t>
            </w:r>
          </w:p>
        </w:tc>
      </w:tr>
      <w:tr>
        <w:tc>
          <w:p>
            <w:r>
              <w:t xml:space="preserve">cable-drilldown</w:t>
            </w:r>
          </w:p>
        </w:tc>
        <w:tc>
          <w:p>
            <w:r>
              <w:t xml:space="preserve">Zone 7: Cable Mgmt</w:t>
            </w:r>
          </w:p>
        </w:tc>
        <w:tc>
          <w:p>
            <w:r>
              <w:t xml:space="preserve">Harness routing</w:t>
            </w:r>
          </w:p>
        </w:tc>
      </w:tr>
      <w:tr>
        <w:tc>
          <w:p>
            <w:r>
              <w:t xml:space="preserve">rackasm-drilldown</w:t>
            </w:r>
          </w:p>
        </w:tc>
        <w:tc>
          <w:p>
            <w:r>
              <w:t xml:space="preserve">Zone 8: Rack Assembly</w:t>
            </w:r>
          </w:p>
        </w:tc>
        <w:tc>
          <w:p>
            <w:r>
              <w:t xml:space="preserve">Multi-row server racks</w:t>
            </w:r>
          </w:p>
        </w:tc>
      </w:tr>
      <w:tr>
        <w:tc>
          <w:p>
            <w:r>
              <w:t xml:space="preserve">burnin-drilldown</w:t>
            </w:r>
          </w:p>
        </w:tc>
        <w:tc>
          <w:p>
            <w:r>
              <w:t xml:space="preserve">Zone 13: Burn-in Room</w:t>
            </w:r>
          </w:p>
        </w:tc>
        <w:tc>
          <w:p>
            <w:r>
              <w:t xml:space="preserve">Thermal testing layout</w:t>
            </w:r>
          </w:p>
        </w:tc>
      </w:tr>
    </w:tbl>
    <w:p>
      <w:pPr>
        <w:spacing w:after="200"/>
      </w:pPr>
    </w:p>
    <w:p>
      <w:pPr>
        <w:spacing w:after="50"/>
      </w:pPr>
      <w:r>
        <w:t xml:space="preserve">✓ Core functions present: enterDrilldown() and exitDrilldown()</w:t>
      </w:r>
    </w:p>
    <w:p>
      <w:pPr>
        <w:spacing w:after="50"/>
      </w:pPr>
      <w:r>
        <w:t xml:space="preserve">✓ All 5 drilldown groups have matching SVG elements</w:t>
      </w:r>
    </w:p>
    <w:p>
      <w:pPr>
        <w:spacing w:after="200"/>
      </w:pPr>
      <w:r>
        <w:t xml:space="preserve">✓ All cross-references verified and functional</w:t>
      </w:r>
    </w:p>
    <w:p>
      <w:pPr>
        <w:pStyle w:val="Heading1"/>
        <w:spacing w:after="200" w:before="400"/>
      </w:pPr>
      <w:r>
        <w:t xml:space="preserve">5. FLOW ARROWS &amp; PROCESS VISUALIZATION</w:t>
      </w:r>
    </w:p>
    <w:p>
      <w:pPr>
        <w:spacing w:after="200"/>
      </w:pPr>
      <w:r>
        <w:t xml:space="preserve">Flow Arrow Elements: 17 SVG &lt;path&gt; elements</w:t>
      </w:r>
    </w:p>
    <w:p>
      <w:pPr>
        <w:spacing w:after="200"/>
      </w:pPr>
      <w:r>
        <w:t xml:space="preserve">Coverage: Arrows visualize material and work flow through factory</w:t>
      </w:r>
    </w:p>
    <w:p>
      <w:pPr>
        <w:spacing w:after="50"/>
      </w:pPr>
      <w:r>
        <w:t xml:space="preserve">✓ All flow arrows have class="flow-arrow"</w:t>
      </w:r>
    </w:p>
    <w:p>
      <w:pPr>
        <w:spacing w:after="50"/>
      </w:pPr>
      <w:r>
        <w:t xml:space="preserve">✓ CSS hover effects defined and functional</w:t>
      </w:r>
    </w:p>
    <w:p>
      <w:pPr>
        <w:spacing w:after="50"/>
      </w:pPr>
      <w:r>
        <w:t xml:space="preserve">✓ applyFilter() function controls visibility</w:t>
      </w:r>
    </w:p>
    <w:p>
      <w:pPr>
        <w:spacing w:after="200"/>
      </w:pPr>
      <w:r>
        <w:t xml:space="preserve">✓ Opacity toggles based on filter selection</w:t>
      </w:r>
    </w:p>
    <w:r>
      <w:br w:type="page"/>
    </w:r>
    <w:p>
      <w:pPr>
        <w:pStyle w:val="Heading1"/>
        <w:spacing w:after="200" w:before="400"/>
      </w:pPr>
      <w:r>
        <w:t xml:space="preserve">6. CSS COMPLETENESS</w:t>
      </w:r>
    </w:p>
    <w:p>
      <w:pPr>
        <w:pStyle w:val="Heading2"/>
        <w:spacing w:after="200"/>
      </w:pPr>
      <w:r>
        <w:t xml:space="preserve">Design System &amp; GPW Brand Integration</w:t>
      </w:r>
    </w:p>
    <w:p>
      <w:pPr>
        <w:pStyle w:val="Heading3"/>
        <w:spacing w:after="100"/>
      </w:pPr>
      <w:r>
        <w:t xml:space="preserve">CSS Variables (GPW Brand Colors):</w:t>
      </w:r>
    </w:p>
    <w:p>
      <w:pPr>
        <w:spacing w:after="50"/>
      </w:pPr>
      <w:r>
        <w:t xml:space="preserve">• --color-teal: #23555A (primary)</w:t>
      </w:r>
    </w:p>
    <w:p>
      <w:pPr>
        <w:spacing w:after="50"/>
      </w:pPr>
      <w:r>
        <w:t xml:space="preserve">• --color-coral: #ED835E (accent/CTA)</w:t>
      </w:r>
    </w:p>
    <w:p>
      <w:pPr>
        <w:spacing w:after="50"/>
      </w:pPr>
      <w:r>
        <w:t xml:space="preserve">• --color-deep-blue: #2A4E64 (secondary)</w:t>
      </w:r>
    </w:p>
    <w:p>
      <w:pPr>
        <w:spacing w:after="200"/>
      </w:pPr>
      <w:r>
        <w:t xml:space="preserve">• --color-lime: #ADCF91 (highlights)</w:t>
      </w:r>
    </w:p>
    <w:p>
      <w:pPr>
        <w:pStyle w:val="Heading3"/>
        <w:spacing w:after="100"/>
      </w:pPr>
      <w:r>
        <w:t xml:space="preserve">Key CSS Classes Verified:</w:t>
      </w:r>
    </w:p>
    <w:p>
      <w:pPr>
        <w:spacing w:after="50"/>
      </w:pPr>
      <w:r>
        <w:t xml:space="preserve">✓ .zone-rect (base styling)</w:t>
      </w:r>
    </w:p>
    <w:p>
      <w:pPr>
        <w:spacing w:after="50"/>
      </w:pPr>
      <w:r>
        <w:t xml:space="preserve">✓ .zone-rect:hover (interactive effects)</w:t>
      </w:r>
    </w:p>
    <w:p>
      <w:pPr>
        <w:spacing w:after="50"/>
      </w:pPr>
      <w:r>
        <w:t xml:space="preserve">✓ .side-panel (sidebar container)</w:t>
      </w:r>
    </w:p>
    <w:p>
      <w:pPr>
        <w:spacing w:after="50"/>
      </w:pPr>
      <w:r>
        <w:t xml:space="preserve">✓ .detail-panel (content panel)</w:t>
      </w:r>
    </w:p>
    <w:p>
      <w:pPr>
        <w:spacing w:after="50"/>
      </w:pPr>
      <w:r>
        <w:t xml:space="preserve">✓ .flow-arrow (process visualization)</w:t>
      </w:r>
    </w:p>
    <w:p>
      <w:pPr>
        <w:spacing w:after="50"/>
      </w:pPr>
      <w:r>
        <w:t xml:space="preserve">✓ .drill-down-group (detail layouts)</w:t>
      </w:r>
    </w:p>
    <w:p>
      <w:pPr>
        <w:spacing w:after="50"/>
      </w:pPr>
      <w:r>
        <w:t xml:space="preserve">✓ Responsive design for mobile (@media 768px)</w:t>
      </w:r>
    </w:p>
    <w:p>
      <w:pPr>
        <w:spacing w:after="200"/>
      </w:pPr>
      <w:r>
        <w:t xml:space="preserve">✓ Visual effects (glow, transitions, animations)</w:t>
      </w:r>
    </w:p>
    <w:p>
      <w:pPr>
        <w:pStyle w:val="Heading1"/>
        <w:spacing w:after="200" w:before="400"/>
      </w:pPr>
      <w:r>
        <w:t xml:space="preserve">CONCLUSION</w:t>
      </w:r>
    </w:p>
    <w:p>
      <w:pPr>
        <w:pStyle w:val="Heading2"/>
        <w:spacing w:after="200"/>
      </w:pPr>
      <w:r>
        <w:t xml:space="preserve">Production Readiness: ✓ APPROVED</w:t>
      </w:r>
    </w:p>
    <w:p>
      <w:pPr>
        <w:spacing w:after="100"/>
      </w:pPr>
      <w:r>
        <w:t xml:space="preserve">The gpw-factory-layout-v3.html file successfully implements all required components:</w:t>
      </w:r>
    </w:p>
    <w:p>
      <w:pPr>
        <w:spacing w:after="50"/>
      </w:pPr>
      <w:r>
        <w:t xml:space="preserve">✓ All 26 factory zones with complete data</w:t>
      </w:r>
    </w:p>
    <w:p>
      <w:pPr>
        <w:spacing w:after="50"/>
      </w:pPr>
      <w:r>
        <w:t xml:space="preserve">✓ 5 drill-down detailed layout views</w:t>
      </w:r>
    </w:p>
    <w:p>
      <w:pPr>
        <w:spacing w:after="50"/>
      </w:pPr>
      <w:r>
        <w:t xml:space="preserve">✓ 17 process flow arrow visualizations</w:t>
      </w:r>
    </w:p>
    <w:p>
      <w:pPr>
        <w:spacing w:after="50"/>
      </w:pPr>
      <w:r>
        <w:t xml:space="preserve">✓ Interactive filtering and zone selection</w:t>
      </w:r>
    </w:p>
    <w:p>
      <w:pPr>
        <w:spacing w:after="50"/>
      </w:pPr>
      <w:r>
        <w:t xml:space="preserve">✓ Responsive design (desktop + mobile)</w:t>
      </w:r>
    </w:p>
    <w:p>
      <w:pPr>
        <w:spacing w:after="50"/>
      </w:pPr>
      <w:r>
        <w:t xml:space="preserve">✓ GPW brand color scheme and typography</w:t>
      </w:r>
    </w:p>
    <w:p>
      <w:pPr>
        <w:spacing w:after="200"/>
      </w:pPr>
      <w:r>
        <w:t xml:space="preserve">✓ Clean, maintainable code structure</w:t>
      </w:r>
    </w:p>
    <w:p>
      <w:pPr>
        <w:spacing w:after="200"/>
      </w:pPr>
      <w:r>
        <w:t xml:space="preserve">Minor HTML5 validation warnings (3 low-priority items) do not impact functionality. These can be addressed in a future maintenance cycle (v3.1).</w:t>
      </w:r>
    </w:p>
    <w:p>
      <w:pPr>
        <w:pStyle w:val="Heading3"/>
        <w:spacing w:after="400" w:before="400"/>
      </w:pPr>
      <w:r>
        <w:t xml:space="preserve">Recommendation: Deploy to production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2026-03-06T03:44:03.847Z</dcterms:created>
  <dcterms:modified xsi:type="dcterms:W3CDTF">2026-03-06T03:44:03.848Z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