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8D" w:rsidRPr="0097548D" w:rsidRDefault="0097548D" w:rsidP="0097548D">
      <w:pPr>
        <w:widowControl/>
        <w:rPr>
          <w:rFonts w:ascii="新細明體" w:eastAsia="新細明體" w:hAnsi="新細明體" w:cs="新細明體"/>
          <w:kern w:val="0"/>
          <w:sz w:val="22"/>
        </w:rPr>
      </w:pPr>
      <w:r w:rsidRPr="0097548D">
        <w:rPr>
          <w:rFonts w:ascii="Arial" w:eastAsia="新細明體" w:hAnsi="Arial" w:cs="Arial"/>
          <w:color w:val="000000"/>
          <w:kern w:val="0"/>
          <w:sz w:val="22"/>
        </w:rPr>
        <w:t>遊戲介紹</w:t>
      </w:r>
    </w:p>
    <w:p w:rsidR="0097548D" w:rsidRPr="0097548D" w:rsidRDefault="0097548D" w:rsidP="0097548D">
      <w:pPr>
        <w:widowControl/>
        <w:rPr>
          <w:rFonts w:ascii="新細明體" w:eastAsia="新細明體" w:hAnsi="新細明體" w:cs="新細明體"/>
          <w:kern w:val="0"/>
          <w:sz w:val="22"/>
        </w:rPr>
      </w:pPr>
      <w:r w:rsidRPr="0097548D">
        <w:rPr>
          <w:rFonts w:ascii="Arial" w:eastAsia="新細明體" w:hAnsi="Arial" w:cs="Arial"/>
          <w:color w:val="000000"/>
          <w:kern w:val="0"/>
          <w:sz w:val="22"/>
        </w:rPr>
        <w:t> </w:t>
      </w:r>
    </w:p>
    <w:p w:rsidR="0097548D" w:rsidRPr="0097548D" w:rsidRDefault="00212117" w:rsidP="0097548D">
      <w:pPr>
        <w:widowControl/>
        <w:spacing w:after="200"/>
        <w:rPr>
          <w:rFonts w:ascii="新細明體" w:eastAsia="新細明體" w:hAnsi="新細明體" w:cs="新細明體"/>
          <w:kern w:val="0"/>
          <w:sz w:val="22"/>
        </w:rPr>
      </w:pPr>
      <w:r w:rsidRPr="00D41182">
        <w:rPr>
          <w:rFonts w:ascii="Arial" w:eastAsia="新細明體" w:hAnsi="Arial" w:cs="Arial"/>
          <w:b/>
          <w:bCs/>
          <w:color w:val="000000"/>
          <w:kern w:val="0"/>
          <w:sz w:val="22"/>
        </w:rPr>
        <w:t>Project: Earth Chicken-</w:t>
      </w:r>
      <w:r w:rsidR="0097548D" w:rsidRPr="0097548D">
        <w:rPr>
          <w:rFonts w:ascii="Arial" w:eastAsia="新細明體" w:hAnsi="Arial" w:cs="Arial"/>
          <w:b/>
          <w:bCs/>
          <w:color w:val="000000"/>
          <w:kern w:val="0"/>
          <w:sz w:val="22"/>
        </w:rPr>
        <w:t xml:space="preserve"> </w:t>
      </w:r>
      <w:proofErr w:type="spellStart"/>
      <w:r w:rsidR="0097548D" w:rsidRPr="0097548D">
        <w:rPr>
          <w:rFonts w:ascii="Arial" w:eastAsia="新細明體" w:hAnsi="Arial" w:cs="Arial"/>
          <w:b/>
          <w:bCs/>
          <w:color w:val="000000"/>
          <w:kern w:val="0"/>
          <w:sz w:val="22"/>
        </w:rPr>
        <w:t>Carboin</w:t>
      </w:r>
      <w:proofErr w:type="spellEnd"/>
      <w:r w:rsidR="0097548D" w:rsidRPr="0097548D">
        <w:rPr>
          <w:rFonts w:ascii="Arial" w:eastAsia="新細明體" w:hAnsi="Arial" w:cs="Arial"/>
          <w:b/>
          <w:bCs/>
          <w:color w:val="000000"/>
          <w:kern w:val="0"/>
          <w:sz w:val="22"/>
        </w:rPr>
        <w:t xml:space="preserve"> </w:t>
      </w:r>
      <w:r w:rsidR="0097548D" w:rsidRPr="0097548D">
        <w:rPr>
          <w:rFonts w:ascii="Arial" w:eastAsia="新細明體" w:hAnsi="Arial" w:cs="Arial"/>
          <w:b/>
          <w:bCs/>
          <w:color w:val="000000"/>
          <w:kern w:val="0"/>
          <w:sz w:val="22"/>
        </w:rPr>
        <w:t>地球趣墾</w:t>
      </w:r>
      <w:r w:rsidR="0097548D" w:rsidRPr="0097548D">
        <w:rPr>
          <w:rFonts w:ascii="Arial" w:eastAsia="新細明體" w:hAnsi="Arial" w:cs="Arial"/>
          <w:b/>
          <w:bCs/>
          <w:color w:val="000000"/>
          <w:kern w:val="0"/>
          <w:sz w:val="22"/>
        </w:rPr>
        <w:t>-</w:t>
      </w:r>
      <w:r w:rsidR="0097548D" w:rsidRPr="0097548D">
        <w:rPr>
          <w:rFonts w:ascii="Arial" w:eastAsia="新細明體" w:hAnsi="Arial" w:cs="Arial"/>
          <w:b/>
          <w:bCs/>
          <w:color w:val="000000"/>
          <w:kern w:val="0"/>
          <w:sz w:val="22"/>
        </w:rPr>
        <w:t>碳幣大富翁</w:t>
      </w:r>
    </w:p>
    <w:p w:rsidR="0097548D" w:rsidRPr="0097548D" w:rsidRDefault="0097548D" w:rsidP="0097548D">
      <w:pPr>
        <w:widowControl/>
        <w:spacing w:after="200"/>
        <w:rPr>
          <w:rFonts w:ascii="新細明體" w:eastAsia="新細明體" w:hAnsi="新細明體" w:cs="新細明體"/>
          <w:kern w:val="0"/>
          <w:sz w:val="22"/>
        </w:rPr>
      </w:pPr>
      <w:r w:rsidRPr="0097548D">
        <w:rPr>
          <w:rFonts w:ascii="Arial" w:eastAsia="新細明體" w:hAnsi="Arial" w:cs="Arial"/>
          <w:color w:val="000000"/>
          <w:kern w:val="0"/>
          <w:sz w:val="22"/>
        </w:rPr>
        <w:t xml:space="preserve">Goal: Use </w:t>
      </w:r>
      <w:proofErr w:type="spellStart"/>
      <w:r w:rsidRPr="0097548D">
        <w:rPr>
          <w:rFonts w:ascii="Arial" w:eastAsia="新細明體" w:hAnsi="Arial" w:cs="Arial"/>
          <w:color w:val="000000"/>
          <w:kern w:val="0"/>
          <w:sz w:val="22"/>
        </w:rPr>
        <w:t>Carboin</w:t>
      </w:r>
      <w:proofErr w:type="spellEnd"/>
      <w:r w:rsidRPr="0097548D">
        <w:rPr>
          <w:rFonts w:ascii="Arial" w:eastAsia="新細明體" w:hAnsi="Arial" w:cs="Arial"/>
          <w:color w:val="000000"/>
          <w:kern w:val="0"/>
          <w:sz w:val="22"/>
        </w:rPr>
        <w:t xml:space="preserve"> as the new currency in agricultural activities to earn a fortune!</w:t>
      </w:r>
    </w:p>
    <w:p w:rsidR="0097548D" w:rsidRPr="0097548D" w:rsidRDefault="0097548D" w:rsidP="0097548D">
      <w:pPr>
        <w:widowControl/>
        <w:spacing w:after="200"/>
        <w:rPr>
          <w:rFonts w:ascii="新細明體" w:eastAsia="新細明體" w:hAnsi="新細明體" w:cs="新細明體"/>
          <w:kern w:val="0"/>
          <w:sz w:val="22"/>
        </w:rPr>
      </w:pPr>
      <w:r w:rsidRPr="0097548D">
        <w:rPr>
          <w:rFonts w:ascii="Arial" w:eastAsia="新細明體" w:hAnsi="Arial" w:cs="Arial"/>
          <w:color w:val="000000"/>
          <w:kern w:val="0"/>
          <w:sz w:val="22"/>
        </w:rPr>
        <w:t xml:space="preserve">Activity: You will need to find out how to accumulate a large fortune through balancing your </w:t>
      </w:r>
      <w:r w:rsidR="000250F8">
        <w:rPr>
          <w:rFonts w:ascii="Arial" w:eastAsia="新細明體" w:hAnsi="Arial" w:cs="Arial"/>
          <w:color w:val="000000"/>
          <w:kern w:val="0"/>
          <w:sz w:val="22"/>
        </w:rPr>
        <w:t>capital profit ($P) and carbon coins</w:t>
      </w:r>
      <w:r w:rsidRPr="0097548D">
        <w:rPr>
          <w:rFonts w:ascii="Arial" w:eastAsia="新細明體" w:hAnsi="Arial" w:cs="Arial"/>
          <w:color w:val="000000"/>
          <w:kern w:val="0"/>
          <w:sz w:val="22"/>
        </w:rPr>
        <w:t xml:space="preserve"> ($C) in harvesting timber </w:t>
      </w:r>
      <w:r w:rsidR="000250F8">
        <w:rPr>
          <w:rFonts w:ascii="Arial" w:eastAsia="新細明體" w:hAnsi="Arial" w:cs="Arial"/>
          <w:color w:val="000000"/>
          <w:kern w:val="0"/>
          <w:sz w:val="22"/>
        </w:rPr>
        <w:t>or</w:t>
      </w:r>
      <w:r w:rsidRPr="0097548D">
        <w:rPr>
          <w:rFonts w:ascii="Arial" w:eastAsia="新細明體" w:hAnsi="Arial" w:cs="Arial"/>
          <w:color w:val="000000"/>
          <w:kern w:val="0"/>
          <w:sz w:val="22"/>
        </w:rPr>
        <w:t xml:space="preserve"> crop </w:t>
      </w:r>
      <w:r w:rsidR="000250F8">
        <w:rPr>
          <w:rFonts w:ascii="Arial" w:eastAsia="新細明體" w:hAnsi="Arial" w:cs="Arial"/>
          <w:color w:val="000000"/>
          <w:kern w:val="0"/>
          <w:sz w:val="22"/>
        </w:rPr>
        <w:t>while</w:t>
      </w:r>
      <w:r w:rsidRPr="0097548D">
        <w:rPr>
          <w:rFonts w:ascii="Arial" w:eastAsia="新細明體" w:hAnsi="Arial" w:cs="Arial"/>
          <w:color w:val="000000"/>
          <w:kern w:val="0"/>
          <w:sz w:val="22"/>
        </w:rPr>
        <w:t xml:space="preserve"> reducing carbon footprint. </w:t>
      </w:r>
    </w:p>
    <w:p w:rsidR="0097548D" w:rsidRPr="0097548D" w:rsidRDefault="0097548D" w:rsidP="0097548D">
      <w:pPr>
        <w:widowControl/>
        <w:spacing w:after="200"/>
        <w:rPr>
          <w:rFonts w:ascii="新細明體" w:eastAsia="新細明體" w:hAnsi="新細明體" w:cs="新細明體"/>
          <w:kern w:val="0"/>
          <w:sz w:val="22"/>
        </w:rPr>
      </w:pPr>
      <w:r w:rsidRPr="0097548D">
        <w:rPr>
          <w:rFonts w:ascii="Arial" w:eastAsia="新細明體" w:hAnsi="Arial" w:cs="Arial"/>
          <w:b/>
          <w:bCs/>
          <w:color w:val="000000"/>
          <w:kern w:val="0"/>
          <w:sz w:val="22"/>
        </w:rPr>
        <w:t>目標</w:t>
      </w:r>
      <w:r w:rsidRPr="0097548D">
        <w:rPr>
          <w:rFonts w:ascii="Arial" w:eastAsia="新細明體" w:hAnsi="Arial" w:cs="Arial"/>
          <w:b/>
          <w:bCs/>
          <w:color w:val="000000"/>
          <w:kern w:val="0"/>
          <w:sz w:val="22"/>
        </w:rPr>
        <w:t xml:space="preserve">:  </w:t>
      </w:r>
      <w:r w:rsidRPr="0097548D">
        <w:rPr>
          <w:rFonts w:ascii="Arial" w:eastAsia="新細明體" w:hAnsi="Arial" w:cs="Arial"/>
          <w:b/>
          <w:bCs/>
          <w:color w:val="000000"/>
          <w:kern w:val="0"/>
          <w:sz w:val="22"/>
        </w:rPr>
        <w:t>找尋適合的氣候、土地條件，種植適合的物產，過程中累積碳足跡與金錢，尋找單位金錢最小碳足跡的勝利方程式。</w:t>
      </w:r>
    </w:p>
    <w:p w:rsidR="0097548D" w:rsidRPr="0097548D" w:rsidRDefault="0097548D" w:rsidP="0097548D">
      <w:pPr>
        <w:widowControl/>
        <w:rPr>
          <w:rFonts w:ascii="新細明體" w:eastAsia="新細明體" w:hAnsi="新細明體" w:cs="新細明體"/>
          <w:kern w:val="0"/>
          <w:sz w:val="22"/>
        </w:rPr>
      </w:pPr>
    </w:p>
    <w:p w:rsidR="000250F8" w:rsidRDefault="000250F8" w:rsidP="000250F8">
      <w:pPr>
        <w:pStyle w:val="Heading4"/>
        <w:spacing w:before="0" w:beforeAutospacing="0" w:after="120" w:afterAutospacing="0"/>
        <w:rPr>
          <w:rFonts w:ascii="Arial" w:hAnsi="Arial" w:cs="Arial"/>
          <w:color w:val="000000"/>
          <w:sz w:val="27"/>
          <w:szCs w:val="27"/>
        </w:rPr>
      </w:pPr>
      <w:r>
        <w:rPr>
          <w:rFonts w:ascii="Arial" w:hAnsi="Arial" w:cs="Arial"/>
          <w:color w:val="000000"/>
          <w:sz w:val="27"/>
          <w:szCs w:val="27"/>
        </w:rPr>
        <w:t>Play the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"https://earthchicken.org/" \t "_blank" </w:instrText>
      </w:r>
      <w:r>
        <w:rPr>
          <w:rFonts w:ascii="Arial" w:hAnsi="Arial" w:cs="Arial"/>
          <w:color w:val="000000"/>
          <w:sz w:val="27"/>
          <w:szCs w:val="27"/>
        </w:rPr>
        <w:fldChar w:fldCharType="separate"/>
      </w:r>
      <w:r>
        <w:rPr>
          <w:rStyle w:val="Hyperlink"/>
          <w:rFonts w:ascii="Arial" w:hAnsi="Arial" w:cs="Arial"/>
          <w:color w:val="1155CC"/>
          <w:sz w:val="27"/>
          <w:szCs w:val="27"/>
        </w:rPr>
        <w:t>Carboin</w:t>
      </w:r>
      <w:proofErr w:type="spellEnd"/>
      <w:r>
        <w:rPr>
          <w:rFonts w:ascii="Arial" w:hAnsi="Arial" w:cs="Arial"/>
          <w:color w:val="000000"/>
          <w:sz w:val="27"/>
          <w:szCs w:val="27"/>
        </w:rPr>
        <w:fldChar w:fldCharType="end"/>
      </w:r>
      <w:r>
        <w:rPr>
          <w:rFonts w:ascii="Arial" w:hAnsi="Arial" w:cs="Arial"/>
          <w:color w:val="000000"/>
          <w:sz w:val="27"/>
          <w:szCs w:val="27"/>
        </w:rPr>
        <w:t> game!</w:t>
      </w:r>
    </w:p>
    <w:p w:rsidR="000250F8" w:rsidRDefault="000250F8" w:rsidP="000250F8">
      <w:pPr>
        <w:pStyle w:val="Heading4"/>
        <w:spacing w:before="0" w:beforeAutospacing="0" w:after="120" w:afterAutospacing="0"/>
        <w:rPr>
          <w:rFonts w:ascii="Arial" w:hAnsi="Arial" w:cs="Arial"/>
          <w:color w:val="000000"/>
          <w:sz w:val="27"/>
          <w:szCs w:val="27"/>
        </w:rPr>
      </w:pPr>
      <w:r>
        <w:rPr>
          <w:rFonts w:ascii="Arial" w:hAnsi="Arial" w:cs="Arial"/>
          <w:color w:val="000000"/>
          <w:sz w:val="27"/>
          <w:szCs w:val="27"/>
        </w:rPr>
        <w:t>Run the source code yourself: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"https://github.com/earth-chicken/earthchicken" \t "_blank" </w:instrText>
      </w:r>
      <w:r>
        <w:rPr>
          <w:rFonts w:ascii="Arial" w:hAnsi="Arial" w:cs="Arial"/>
          <w:color w:val="000000"/>
          <w:sz w:val="27"/>
          <w:szCs w:val="27"/>
        </w:rPr>
        <w:fldChar w:fldCharType="separate"/>
      </w:r>
      <w:r>
        <w:rPr>
          <w:rStyle w:val="Hyperlink"/>
          <w:rFonts w:ascii="Arial" w:hAnsi="Arial" w:cs="Arial"/>
          <w:color w:val="1155CC"/>
          <w:sz w:val="27"/>
          <w:szCs w:val="27"/>
        </w:rPr>
        <w:t>github</w:t>
      </w:r>
      <w:proofErr w:type="spellEnd"/>
      <w:r>
        <w:rPr>
          <w:rStyle w:val="Hyperlink"/>
          <w:rFonts w:ascii="Arial" w:hAnsi="Arial" w:cs="Arial"/>
          <w:color w:val="1155CC"/>
          <w:sz w:val="27"/>
          <w:szCs w:val="27"/>
        </w:rPr>
        <w:t>/earthchicken</w:t>
      </w:r>
      <w:r>
        <w:rPr>
          <w:rFonts w:ascii="Arial" w:hAnsi="Arial" w:cs="Arial"/>
          <w:color w:val="000000"/>
          <w:sz w:val="27"/>
          <w:szCs w:val="27"/>
        </w:rPr>
        <w:fldChar w:fldCharType="end"/>
      </w:r>
    </w:p>
    <w:p w:rsidR="000250F8" w:rsidRDefault="000250F8" w:rsidP="000250F8">
      <w:pPr>
        <w:pStyle w:val="Heading4"/>
        <w:spacing w:before="0" w:beforeAutospacing="0" w:after="120" w:afterAutospacing="0"/>
        <w:rPr>
          <w:rFonts w:ascii="Arial" w:hAnsi="Arial" w:cs="Arial"/>
          <w:color w:val="000000"/>
          <w:sz w:val="27"/>
          <w:szCs w:val="27"/>
        </w:rPr>
      </w:pPr>
    </w:p>
    <w:p w:rsidR="000250F8" w:rsidRDefault="000250F8" w:rsidP="000250F8">
      <w:pPr>
        <w:pStyle w:val="Heading4"/>
        <w:spacing w:before="0" w:beforeAutospacing="0" w:after="120" w:afterAutospacing="0"/>
        <w:rPr>
          <w:rFonts w:ascii="Arial" w:hAnsi="Arial" w:cs="Arial"/>
          <w:color w:val="000000"/>
          <w:sz w:val="27"/>
          <w:szCs w:val="27"/>
        </w:rPr>
      </w:pPr>
      <w:r>
        <w:rPr>
          <w:rFonts w:ascii="Arial" w:hAnsi="Arial" w:cs="Arial"/>
          <w:color w:val="000000"/>
          <w:sz w:val="27"/>
          <w:szCs w:val="27"/>
        </w:rPr>
        <w:t>Introduction</w:t>
      </w:r>
    </w:p>
    <w:p w:rsidR="000250F8" w:rsidRDefault="000250F8" w:rsidP="000250F8">
      <w:pPr>
        <w:pStyle w:val="NormalWeb"/>
        <w:spacing w:before="0" w:beforeAutospacing="0" w:after="225" w:afterAutospacing="0" w:line="384" w:lineRule="atLeast"/>
        <w:rPr>
          <w:rFonts w:ascii="Arial" w:hAnsi="Arial" w:cs="Arial"/>
          <w:color w:val="4D4D4D"/>
          <w:sz w:val="21"/>
          <w:szCs w:val="21"/>
        </w:rPr>
      </w:pPr>
      <w:r>
        <w:rPr>
          <w:rFonts w:ascii="Arial" w:hAnsi="Arial" w:cs="Arial"/>
          <w:color w:val="4D4D4D"/>
          <w:sz w:val="21"/>
          <w:szCs w:val="21"/>
        </w:rPr>
        <w:t>Carbon is the foundation for food, structure, and life on Earth. One major constituent of carbon, carbon dioxide, is the air we respire and the air we produce through burning fossil fuel. In recent decades, carbon dioxide is the major factor to this changing environment. Many scientific reports show the high level of CO</w:t>
      </w:r>
      <w:r>
        <w:rPr>
          <w:rFonts w:ascii="Arial" w:hAnsi="Arial" w:cs="Arial"/>
          <w:color w:val="4D4D4D"/>
          <w:sz w:val="21"/>
          <w:szCs w:val="21"/>
          <w:vertAlign w:val="subscript"/>
        </w:rPr>
        <w:t>2</w:t>
      </w:r>
      <w:r>
        <w:rPr>
          <w:rFonts w:ascii="Arial" w:hAnsi="Arial" w:cs="Arial"/>
          <w:color w:val="4D4D4D"/>
          <w:sz w:val="21"/>
          <w:szCs w:val="21"/>
        </w:rPr>
        <w:t> we have now is less likely caused by natural events but by anthropogenic ones. One reason is because the level has far exceeded that of ancient records in the last 8 million years. In order to reduce CO</w:t>
      </w:r>
      <w:r>
        <w:rPr>
          <w:rFonts w:ascii="Arial" w:hAnsi="Arial" w:cs="Arial"/>
          <w:color w:val="4D4D4D"/>
          <w:sz w:val="21"/>
          <w:szCs w:val="21"/>
          <w:vertAlign w:val="subscript"/>
        </w:rPr>
        <w:t>2</w:t>
      </w:r>
      <w:r>
        <w:rPr>
          <w:rFonts w:ascii="Arial" w:hAnsi="Arial" w:cs="Arial"/>
          <w:color w:val="4D4D4D"/>
          <w:sz w:val="21"/>
          <w:szCs w:val="21"/>
        </w:rPr>
        <w:t> in the air, many movement and methods have been provided. One of them is carbon trade. Carbon trade is to give a price to activities and compensate with products that can reduce carbon dioxide</w:t>
      </w:r>
      <w:r>
        <w:rPr>
          <w:rFonts w:ascii="Arial" w:hAnsi="Arial" w:cs="Arial"/>
          <w:color w:val="4D4D4D"/>
          <w:sz w:val="21"/>
          <w:szCs w:val="21"/>
        </w:rPr>
        <w:t xml:space="preserve"> (amount of the emitted carbon dioxide through activities is also defined as “carbon footprint”)</w:t>
      </w:r>
      <w:r>
        <w:rPr>
          <w:rFonts w:ascii="Arial" w:hAnsi="Arial" w:cs="Arial"/>
          <w:color w:val="4D4D4D"/>
          <w:sz w:val="21"/>
          <w:szCs w:val="21"/>
        </w:rPr>
        <w:t xml:space="preserve">. However, pricing on activities or products can potentially fall into the fallacy in producing more carbon if the pricing market becomes unfair. Inspired by Sustainable Development Goals (SDGs) #15 Life on Land, we want to value the nature of terrestrial region in distinction to our present currency system. We construct a new </w:t>
      </w:r>
      <w:bookmarkStart w:id="0" w:name="_GoBack"/>
      <w:bookmarkEnd w:id="0"/>
      <w:r>
        <w:rPr>
          <w:rFonts w:ascii="Arial" w:hAnsi="Arial" w:cs="Arial"/>
          <w:color w:val="4D4D4D"/>
          <w:sz w:val="21"/>
          <w:szCs w:val="21"/>
        </w:rPr>
        <w:t>value system, Carbon coin currency, to match with the goal.</w:t>
      </w:r>
    </w:p>
    <w:p w:rsidR="000250F8" w:rsidRDefault="000250F8" w:rsidP="000250F8">
      <w:pPr>
        <w:pStyle w:val="NormalWeb"/>
        <w:spacing w:before="0" w:beforeAutospacing="0" w:after="225" w:afterAutospacing="0" w:line="384" w:lineRule="atLeast"/>
        <w:rPr>
          <w:rFonts w:ascii="Arial" w:hAnsi="Arial" w:cs="Arial"/>
          <w:color w:val="4D4D4D"/>
          <w:sz w:val="21"/>
          <w:szCs w:val="21"/>
        </w:rPr>
      </w:pPr>
      <w:r>
        <w:rPr>
          <w:rFonts w:ascii="Arial" w:hAnsi="Arial" w:cs="Arial"/>
          <w:color w:val="4D4D4D"/>
          <w:sz w:val="21"/>
          <w:szCs w:val="21"/>
        </w:rPr>
        <w:t>碳是地球上最重要的元素之一</w:t>
      </w:r>
      <w:r>
        <w:rPr>
          <w:rFonts w:ascii="Arial" w:hAnsi="Arial" w:cs="Arial"/>
          <w:color w:val="4D4D4D"/>
          <w:sz w:val="21"/>
          <w:szCs w:val="21"/>
        </w:rPr>
        <w:t xml:space="preserve">, </w:t>
      </w:r>
      <w:r>
        <w:rPr>
          <w:rFonts w:ascii="Arial" w:hAnsi="Arial" w:cs="Arial"/>
          <w:color w:val="4D4D4D"/>
          <w:sz w:val="21"/>
          <w:szCs w:val="21"/>
        </w:rPr>
        <w:t>他是食物</w:t>
      </w:r>
      <w:r>
        <w:rPr>
          <w:rFonts w:ascii="Arial" w:hAnsi="Arial" w:cs="Arial"/>
          <w:color w:val="4D4D4D"/>
          <w:sz w:val="21"/>
          <w:szCs w:val="21"/>
        </w:rPr>
        <w:t xml:space="preserve">, </w:t>
      </w:r>
      <w:r>
        <w:rPr>
          <w:rFonts w:ascii="Arial" w:hAnsi="Arial" w:cs="Arial"/>
          <w:color w:val="4D4D4D"/>
          <w:sz w:val="21"/>
          <w:szCs w:val="21"/>
        </w:rPr>
        <w:t>結構</w:t>
      </w:r>
      <w:r>
        <w:rPr>
          <w:rFonts w:ascii="Arial" w:hAnsi="Arial" w:cs="Arial"/>
          <w:color w:val="4D4D4D"/>
          <w:sz w:val="21"/>
          <w:szCs w:val="21"/>
        </w:rPr>
        <w:t xml:space="preserve">, </w:t>
      </w:r>
      <w:r>
        <w:rPr>
          <w:rFonts w:ascii="Arial" w:hAnsi="Arial" w:cs="Arial"/>
          <w:color w:val="4D4D4D"/>
          <w:sz w:val="21"/>
          <w:szCs w:val="21"/>
        </w:rPr>
        <w:t>生命的基礎</w:t>
      </w:r>
      <w:r>
        <w:rPr>
          <w:rFonts w:ascii="Arial" w:hAnsi="Arial" w:cs="Arial"/>
          <w:color w:val="4D4D4D"/>
          <w:sz w:val="21"/>
          <w:szCs w:val="21"/>
        </w:rPr>
        <w:t xml:space="preserve">. </w:t>
      </w:r>
      <w:r>
        <w:rPr>
          <w:rFonts w:ascii="Arial" w:hAnsi="Arial" w:cs="Arial"/>
          <w:color w:val="4D4D4D"/>
          <w:sz w:val="21"/>
          <w:szCs w:val="21"/>
        </w:rPr>
        <w:t>其中一個由碳構成的重要分子</w:t>
      </w:r>
      <w:r>
        <w:rPr>
          <w:rFonts w:ascii="Arial" w:hAnsi="Arial" w:cs="Arial"/>
          <w:color w:val="4D4D4D"/>
          <w:sz w:val="21"/>
          <w:szCs w:val="21"/>
        </w:rPr>
        <w:t xml:space="preserve">, </w:t>
      </w:r>
      <w:r>
        <w:rPr>
          <w:rFonts w:ascii="Arial" w:hAnsi="Arial" w:cs="Arial"/>
          <w:color w:val="4D4D4D"/>
          <w:sz w:val="21"/>
          <w:szCs w:val="21"/>
        </w:rPr>
        <w:t>二氧化碳</w:t>
      </w:r>
      <w:r>
        <w:rPr>
          <w:rFonts w:ascii="Arial" w:hAnsi="Arial" w:cs="Arial"/>
          <w:color w:val="4D4D4D"/>
          <w:sz w:val="21"/>
          <w:szCs w:val="21"/>
        </w:rPr>
        <w:t xml:space="preserve">, </w:t>
      </w:r>
      <w:r>
        <w:rPr>
          <w:rFonts w:ascii="Arial" w:hAnsi="Arial" w:cs="Arial"/>
          <w:color w:val="4D4D4D"/>
          <w:sz w:val="21"/>
          <w:szCs w:val="21"/>
        </w:rPr>
        <w:t>是我們呼吸排出的</w:t>
      </w:r>
      <w:r>
        <w:rPr>
          <w:rFonts w:ascii="Arial" w:hAnsi="Arial" w:cs="Arial"/>
          <w:color w:val="4D4D4D"/>
          <w:sz w:val="21"/>
          <w:szCs w:val="21"/>
        </w:rPr>
        <w:t xml:space="preserve">, </w:t>
      </w:r>
      <w:r>
        <w:rPr>
          <w:rFonts w:ascii="Arial" w:hAnsi="Arial" w:cs="Arial"/>
          <w:color w:val="4D4D4D"/>
          <w:sz w:val="21"/>
          <w:szCs w:val="21"/>
        </w:rPr>
        <w:t>也是燃燒化石燃料的產物</w:t>
      </w:r>
      <w:r>
        <w:rPr>
          <w:rFonts w:ascii="Arial" w:hAnsi="Arial" w:cs="Arial"/>
          <w:color w:val="4D4D4D"/>
          <w:sz w:val="21"/>
          <w:szCs w:val="21"/>
        </w:rPr>
        <w:t xml:space="preserve">. </w:t>
      </w:r>
      <w:r>
        <w:rPr>
          <w:rFonts w:ascii="Arial" w:hAnsi="Arial" w:cs="Arial"/>
          <w:color w:val="4D4D4D"/>
          <w:sz w:val="21"/>
          <w:szCs w:val="21"/>
        </w:rPr>
        <w:t>在近幾十年間</w:t>
      </w:r>
      <w:r>
        <w:rPr>
          <w:rFonts w:ascii="Arial" w:hAnsi="Arial" w:cs="Arial"/>
          <w:color w:val="4D4D4D"/>
          <w:sz w:val="21"/>
          <w:szCs w:val="21"/>
        </w:rPr>
        <w:t xml:space="preserve">, </w:t>
      </w:r>
      <w:r>
        <w:rPr>
          <w:rFonts w:ascii="Arial" w:hAnsi="Arial" w:cs="Arial"/>
          <w:color w:val="4D4D4D"/>
          <w:sz w:val="21"/>
          <w:szCs w:val="21"/>
        </w:rPr>
        <w:t>二氧化碳已成為改變氣候環境的重要因子</w:t>
      </w:r>
      <w:r>
        <w:rPr>
          <w:rFonts w:ascii="Arial" w:hAnsi="Arial" w:cs="Arial"/>
          <w:color w:val="4D4D4D"/>
          <w:sz w:val="21"/>
          <w:szCs w:val="21"/>
        </w:rPr>
        <w:t xml:space="preserve">. </w:t>
      </w:r>
      <w:r>
        <w:rPr>
          <w:rFonts w:ascii="Arial" w:hAnsi="Arial" w:cs="Arial"/>
          <w:color w:val="4D4D4D"/>
          <w:sz w:val="21"/>
          <w:szCs w:val="21"/>
        </w:rPr>
        <w:t>很多科學報告顯示現在空氣中二氧化碳的濃度中</w:t>
      </w:r>
      <w:r>
        <w:rPr>
          <w:rFonts w:ascii="Arial" w:hAnsi="Arial" w:cs="Arial"/>
          <w:color w:val="4D4D4D"/>
          <w:sz w:val="21"/>
          <w:szCs w:val="21"/>
        </w:rPr>
        <w:t xml:space="preserve">, </w:t>
      </w:r>
      <w:r>
        <w:rPr>
          <w:rFonts w:ascii="Arial" w:hAnsi="Arial" w:cs="Arial"/>
          <w:color w:val="4D4D4D"/>
          <w:sz w:val="21"/>
          <w:szCs w:val="21"/>
        </w:rPr>
        <w:t>有很大一部份並不是來自自然因素而是人為影響</w:t>
      </w:r>
      <w:r>
        <w:rPr>
          <w:rFonts w:ascii="Arial" w:hAnsi="Arial" w:cs="Arial"/>
          <w:color w:val="4D4D4D"/>
          <w:sz w:val="21"/>
          <w:szCs w:val="21"/>
        </w:rPr>
        <w:t xml:space="preserve">. </w:t>
      </w:r>
      <w:r>
        <w:rPr>
          <w:rFonts w:ascii="Arial" w:hAnsi="Arial" w:cs="Arial"/>
          <w:color w:val="4D4D4D"/>
          <w:sz w:val="21"/>
          <w:szCs w:val="21"/>
        </w:rPr>
        <w:t>其中一個理由是過去八百萬年之間的大氣濃度都沒有如現在這麼高的濃度</w:t>
      </w:r>
      <w:r>
        <w:rPr>
          <w:rFonts w:ascii="Arial" w:hAnsi="Arial" w:cs="Arial"/>
          <w:color w:val="4D4D4D"/>
          <w:sz w:val="21"/>
          <w:szCs w:val="21"/>
        </w:rPr>
        <w:t xml:space="preserve">. </w:t>
      </w:r>
      <w:r>
        <w:rPr>
          <w:rFonts w:ascii="Arial" w:hAnsi="Arial" w:cs="Arial"/>
          <w:color w:val="4D4D4D"/>
          <w:sz w:val="21"/>
          <w:szCs w:val="21"/>
        </w:rPr>
        <w:t>為了降低二氧化碳濃度</w:t>
      </w:r>
      <w:r>
        <w:rPr>
          <w:rFonts w:ascii="Arial" w:hAnsi="Arial" w:cs="Arial"/>
          <w:color w:val="4D4D4D"/>
          <w:sz w:val="21"/>
          <w:szCs w:val="21"/>
        </w:rPr>
        <w:t xml:space="preserve">, </w:t>
      </w:r>
      <w:r>
        <w:rPr>
          <w:rFonts w:ascii="Arial" w:hAnsi="Arial" w:cs="Arial"/>
          <w:color w:val="4D4D4D"/>
          <w:sz w:val="21"/>
          <w:szCs w:val="21"/>
        </w:rPr>
        <w:t>大家集思廣益想了很多方法</w:t>
      </w:r>
      <w:r>
        <w:rPr>
          <w:rFonts w:ascii="Arial" w:hAnsi="Arial" w:cs="Arial"/>
          <w:color w:val="4D4D4D"/>
          <w:sz w:val="21"/>
          <w:szCs w:val="21"/>
        </w:rPr>
        <w:t xml:space="preserve">, </w:t>
      </w:r>
      <w:r>
        <w:rPr>
          <w:rFonts w:ascii="Arial" w:hAnsi="Arial" w:cs="Arial"/>
          <w:color w:val="4D4D4D"/>
          <w:sz w:val="21"/>
          <w:szCs w:val="21"/>
        </w:rPr>
        <w:t>其中一</w:t>
      </w:r>
      <w:r>
        <w:rPr>
          <w:rFonts w:ascii="Arial" w:hAnsi="Arial" w:cs="Arial"/>
          <w:color w:val="4D4D4D"/>
          <w:sz w:val="21"/>
          <w:szCs w:val="21"/>
        </w:rPr>
        <w:lastRenderedPageBreak/>
        <w:t>個即是碳交易</w:t>
      </w:r>
      <w:r>
        <w:rPr>
          <w:rFonts w:ascii="Arial" w:hAnsi="Arial" w:cs="Arial"/>
          <w:color w:val="4D4D4D"/>
          <w:sz w:val="21"/>
          <w:szCs w:val="21"/>
        </w:rPr>
        <w:t xml:space="preserve">. </w:t>
      </w:r>
      <w:r>
        <w:rPr>
          <w:rFonts w:ascii="Arial" w:hAnsi="Arial" w:cs="Arial"/>
          <w:color w:val="4D4D4D"/>
          <w:sz w:val="21"/>
          <w:szCs w:val="21"/>
        </w:rPr>
        <w:t>碳交易是針對任何活動都評量造成的碳釋出</w:t>
      </w:r>
      <w:r>
        <w:rPr>
          <w:rFonts w:ascii="Arial" w:hAnsi="Arial" w:cs="Arial"/>
          <w:color w:val="4D4D4D"/>
          <w:sz w:val="21"/>
          <w:szCs w:val="21"/>
        </w:rPr>
        <w:t>(</w:t>
      </w:r>
      <w:r>
        <w:rPr>
          <w:rFonts w:ascii="Arial" w:hAnsi="Arial" w:cs="Arial"/>
          <w:color w:val="4D4D4D"/>
          <w:sz w:val="21"/>
          <w:szCs w:val="21"/>
        </w:rPr>
        <w:t>或可稱為碳足跡</w:t>
      </w:r>
      <w:r>
        <w:rPr>
          <w:rFonts w:ascii="Arial" w:hAnsi="Arial" w:cs="Arial"/>
          <w:color w:val="4D4D4D"/>
          <w:sz w:val="21"/>
          <w:szCs w:val="21"/>
        </w:rPr>
        <w:t xml:space="preserve">), </w:t>
      </w:r>
      <w:r>
        <w:rPr>
          <w:rFonts w:ascii="Arial" w:hAnsi="Arial" w:cs="Arial"/>
          <w:color w:val="4D4D4D"/>
          <w:sz w:val="21"/>
          <w:szCs w:val="21"/>
        </w:rPr>
        <w:t>並購買能夠減碳的方式來作為補償</w:t>
      </w:r>
      <w:r>
        <w:rPr>
          <w:rFonts w:ascii="Arial" w:hAnsi="Arial" w:cs="Arial"/>
          <w:color w:val="4D4D4D"/>
          <w:sz w:val="21"/>
          <w:szCs w:val="21"/>
        </w:rPr>
        <w:t xml:space="preserve">. </w:t>
      </w:r>
      <w:r>
        <w:rPr>
          <w:rFonts w:ascii="Arial" w:hAnsi="Arial" w:cs="Arial"/>
          <w:color w:val="4D4D4D"/>
          <w:sz w:val="21"/>
          <w:szCs w:val="21"/>
        </w:rPr>
        <w:t>雖然針對活動或物產進行評價碳價值的作法可能導致反效果</w:t>
      </w:r>
      <w:r>
        <w:rPr>
          <w:rFonts w:ascii="Arial" w:hAnsi="Arial" w:cs="Arial"/>
          <w:color w:val="4D4D4D"/>
          <w:sz w:val="21"/>
          <w:szCs w:val="21"/>
        </w:rPr>
        <w:t xml:space="preserve">, </w:t>
      </w:r>
      <w:r>
        <w:rPr>
          <w:rFonts w:ascii="Arial" w:hAnsi="Arial" w:cs="Arial"/>
          <w:color w:val="4D4D4D"/>
          <w:sz w:val="21"/>
          <w:szCs w:val="21"/>
        </w:rPr>
        <w:t>例如當評價系統不公平的時候就購買減碳的量</w:t>
      </w:r>
      <w:r>
        <w:rPr>
          <w:rFonts w:ascii="Arial" w:hAnsi="Arial" w:cs="Arial"/>
          <w:color w:val="4D4D4D"/>
          <w:sz w:val="21"/>
          <w:szCs w:val="21"/>
        </w:rPr>
        <w:t xml:space="preserve">, </w:t>
      </w:r>
      <w:r>
        <w:rPr>
          <w:rFonts w:ascii="Arial" w:hAnsi="Arial" w:cs="Arial"/>
          <w:color w:val="4D4D4D"/>
          <w:sz w:val="21"/>
          <w:szCs w:val="21"/>
        </w:rPr>
        <w:t>卻沒有中和碳排放</w:t>
      </w:r>
      <w:r>
        <w:rPr>
          <w:rFonts w:ascii="Arial" w:hAnsi="Arial" w:cs="Arial"/>
          <w:color w:val="4D4D4D"/>
          <w:sz w:val="21"/>
          <w:szCs w:val="21"/>
        </w:rPr>
        <w:t xml:space="preserve">, </w:t>
      </w:r>
      <w:r>
        <w:rPr>
          <w:rFonts w:ascii="Arial" w:hAnsi="Arial" w:cs="Arial"/>
          <w:color w:val="4D4D4D"/>
          <w:sz w:val="21"/>
          <w:szCs w:val="21"/>
        </w:rPr>
        <w:t>反而變相鼓勵更多消耗</w:t>
      </w:r>
      <w:r>
        <w:rPr>
          <w:rFonts w:ascii="Arial" w:hAnsi="Arial" w:cs="Arial"/>
          <w:color w:val="4D4D4D"/>
          <w:sz w:val="21"/>
          <w:szCs w:val="21"/>
        </w:rPr>
        <w:t xml:space="preserve">. </w:t>
      </w:r>
      <w:r>
        <w:rPr>
          <w:rFonts w:ascii="Arial" w:hAnsi="Arial" w:cs="Arial"/>
          <w:color w:val="4D4D4D"/>
          <w:sz w:val="21"/>
          <w:szCs w:val="21"/>
        </w:rPr>
        <w:t>我們受到永續發展指標</w:t>
      </w:r>
      <w:r>
        <w:rPr>
          <w:rFonts w:ascii="Arial" w:hAnsi="Arial" w:cs="Arial"/>
          <w:color w:val="4D4D4D"/>
          <w:sz w:val="21"/>
          <w:szCs w:val="21"/>
        </w:rPr>
        <w:t>“#15-</w:t>
      </w:r>
      <w:r>
        <w:rPr>
          <w:rFonts w:ascii="Arial" w:hAnsi="Arial" w:cs="Arial"/>
          <w:color w:val="4D4D4D"/>
          <w:sz w:val="21"/>
          <w:szCs w:val="21"/>
        </w:rPr>
        <w:t>地上的生命</w:t>
      </w:r>
      <w:r>
        <w:rPr>
          <w:rFonts w:ascii="Arial" w:hAnsi="Arial" w:cs="Arial"/>
          <w:color w:val="4D4D4D"/>
          <w:sz w:val="21"/>
          <w:szCs w:val="21"/>
        </w:rPr>
        <w:t>”</w:t>
      </w:r>
      <w:r>
        <w:rPr>
          <w:rFonts w:ascii="Arial" w:hAnsi="Arial" w:cs="Arial"/>
          <w:color w:val="4D4D4D"/>
          <w:sz w:val="21"/>
          <w:szCs w:val="21"/>
        </w:rPr>
        <w:t>的啟發</w:t>
      </w:r>
      <w:r>
        <w:rPr>
          <w:rFonts w:ascii="Arial" w:hAnsi="Arial" w:cs="Arial"/>
          <w:color w:val="4D4D4D"/>
          <w:sz w:val="21"/>
          <w:szCs w:val="21"/>
        </w:rPr>
        <w:t xml:space="preserve">, </w:t>
      </w:r>
      <w:r>
        <w:rPr>
          <w:rFonts w:ascii="Arial" w:hAnsi="Arial" w:cs="Arial"/>
          <w:color w:val="4D4D4D"/>
          <w:sz w:val="21"/>
          <w:szCs w:val="21"/>
        </w:rPr>
        <w:t>我們希望能增加自然的評價</w:t>
      </w:r>
      <w:r>
        <w:rPr>
          <w:rFonts w:ascii="Arial" w:hAnsi="Arial" w:cs="Arial"/>
          <w:color w:val="4D4D4D"/>
          <w:sz w:val="21"/>
          <w:szCs w:val="21"/>
        </w:rPr>
        <w:t xml:space="preserve">, </w:t>
      </w:r>
      <w:r>
        <w:rPr>
          <w:rFonts w:ascii="Arial" w:hAnsi="Arial" w:cs="Arial"/>
          <w:color w:val="4D4D4D"/>
          <w:sz w:val="21"/>
          <w:szCs w:val="21"/>
        </w:rPr>
        <w:t>去區分現有的貨幣制度</w:t>
      </w:r>
      <w:r>
        <w:rPr>
          <w:rFonts w:ascii="Arial" w:hAnsi="Arial" w:cs="Arial"/>
          <w:color w:val="4D4D4D"/>
          <w:sz w:val="21"/>
          <w:szCs w:val="21"/>
        </w:rPr>
        <w:t xml:space="preserve">. </w:t>
      </w:r>
      <w:r>
        <w:rPr>
          <w:rFonts w:ascii="Arial" w:hAnsi="Arial" w:cs="Arial"/>
          <w:color w:val="4D4D4D"/>
          <w:sz w:val="21"/>
          <w:szCs w:val="21"/>
        </w:rPr>
        <w:t>我們衡量農業活動中的碳循環</w:t>
      </w:r>
      <w:r>
        <w:rPr>
          <w:rFonts w:ascii="Arial" w:hAnsi="Arial" w:cs="Arial"/>
          <w:color w:val="4D4D4D"/>
          <w:sz w:val="21"/>
          <w:szCs w:val="21"/>
        </w:rPr>
        <w:t xml:space="preserve">, </w:t>
      </w:r>
      <w:r>
        <w:rPr>
          <w:rFonts w:ascii="Arial" w:hAnsi="Arial" w:cs="Arial"/>
          <w:color w:val="4D4D4D"/>
          <w:sz w:val="21"/>
          <w:szCs w:val="21"/>
        </w:rPr>
        <w:t>以碳量來定義新的貨幣系統</w:t>
      </w:r>
      <w:r>
        <w:rPr>
          <w:rFonts w:ascii="Arial" w:hAnsi="Arial" w:cs="Arial"/>
          <w:color w:val="4D4D4D"/>
          <w:sz w:val="21"/>
          <w:szCs w:val="21"/>
        </w:rPr>
        <w:t xml:space="preserve"> (</w:t>
      </w:r>
      <w:r>
        <w:rPr>
          <w:rFonts w:ascii="Arial" w:hAnsi="Arial" w:cs="Arial"/>
          <w:color w:val="4D4D4D"/>
          <w:sz w:val="21"/>
          <w:szCs w:val="21"/>
        </w:rPr>
        <w:t>碳幣</w:t>
      </w:r>
      <w:proofErr w:type="spellStart"/>
      <w:r>
        <w:rPr>
          <w:rFonts w:ascii="Arial" w:hAnsi="Arial" w:cs="Arial"/>
          <w:color w:val="4D4D4D"/>
          <w:sz w:val="21"/>
          <w:szCs w:val="21"/>
        </w:rPr>
        <w:t>Carboin</w:t>
      </w:r>
      <w:proofErr w:type="spellEnd"/>
      <w:r>
        <w:rPr>
          <w:rFonts w:ascii="Arial" w:hAnsi="Arial" w:cs="Arial"/>
          <w:color w:val="4D4D4D"/>
          <w:sz w:val="21"/>
          <w:szCs w:val="21"/>
        </w:rPr>
        <w:t xml:space="preserve">), </w:t>
      </w:r>
      <w:r>
        <w:rPr>
          <w:rFonts w:ascii="Arial" w:hAnsi="Arial" w:cs="Arial"/>
          <w:color w:val="4D4D4D"/>
          <w:sz w:val="21"/>
          <w:szCs w:val="21"/>
        </w:rPr>
        <w:t>希望能藉此滿足這項指標</w:t>
      </w:r>
      <w:r>
        <w:rPr>
          <w:rFonts w:ascii="Arial" w:hAnsi="Arial" w:cs="Arial"/>
          <w:color w:val="4D4D4D"/>
          <w:sz w:val="21"/>
          <w:szCs w:val="21"/>
        </w:rPr>
        <w:t>.</w:t>
      </w:r>
    </w:p>
    <w:p w:rsidR="000250F8" w:rsidRDefault="000250F8" w:rsidP="000250F8">
      <w:pPr>
        <w:pStyle w:val="NormalWeb"/>
        <w:spacing w:before="0" w:beforeAutospacing="0" w:after="225" w:afterAutospacing="0" w:line="384" w:lineRule="atLeast"/>
        <w:rPr>
          <w:rFonts w:ascii="Arial" w:hAnsi="Arial" w:cs="Arial"/>
          <w:color w:val="4D4D4D"/>
          <w:sz w:val="21"/>
          <w:szCs w:val="21"/>
        </w:rPr>
      </w:pPr>
      <w:r>
        <w:rPr>
          <w:rFonts w:ascii="Arial" w:hAnsi="Arial" w:cs="Arial"/>
          <w:color w:val="4D4D4D"/>
          <w:sz w:val="21"/>
          <w:szCs w:val="21"/>
        </w:rPr>
        <w:t xml:space="preserve">In an effort to highlight the importance of plants for carbon fixation and the feedback some cultivation activities may cause to the environment, we design Earth Chicken (as interesting farming in </w:t>
      </w:r>
      <w:proofErr w:type="spellStart"/>
      <w:r>
        <w:rPr>
          <w:rFonts w:ascii="Arial" w:hAnsi="Arial" w:cs="Arial"/>
          <w:color w:val="4D4D4D"/>
          <w:sz w:val="21"/>
          <w:szCs w:val="21"/>
        </w:rPr>
        <w:t>mandrain</w:t>
      </w:r>
      <w:proofErr w:type="spellEnd"/>
      <w:r>
        <w:rPr>
          <w:rFonts w:ascii="Arial" w:hAnsi="Arial" w:cs="Arial"/>
          <w:color w:val="4D4D4D"/>
          <w:sz w:val="21"/>
          <w:szCs w:val="21"/>
        </w:rPr>
        <w:t>) game and introduce currencies for carbon (</w:t>
      </w:r>
      <w:proofErr w:type="spellStart"/>
      <w:r>
        <w:rPr>
          <w:rFonts w:ascii="Arial" w:hAnsi="Arial" w:cs="Arial"/>
          <w:color w:val="4D4D4D"/>
          <w:sz w:val="21"/>
          <w:szCs w:val="21"/>
        </w:rPr>
        <w:t>Carboin</w:t>
      </w:r>
      <w:proofErr w:type="spellEnd"/>
      <w:r>
        <w:rPr>
          <w:rFonts w:ascii="Arial" w:hAnsi="Arial" w:cs="Arial"/>
          <w:color w:val="4D4D4D"/>
          <w:sz w:val="21"/>
          <w:szCs w:val="21"/>
        </w:rPr>
        <w:t xml:space="preserve">, $C) and economical trading (capital profits, $P). We estimate the impact of the above activities with carbon budget partly on several scientific reports. Two scientific models are: one tights together growth of crops with its consumption for water and nutrients (GAEZ) and another model provides a larger view on ecosystems and show tree's dependency on environment (ORCHIDEE). Many environmental factors constrain plant growth, such as temperature, water, light, and nutrients. We know that natural ecosystem provides various environments for diverse plants and animals, such as ecoregions. When you log onto the current view of the modern Earth, you will see information extracted and modeled from satellites of NASA (GLDAS-NOAH025). You will begin to observe how different it can be within a few years! Now, you are on a mission to earn profits on both sides while reducing the environmental stress across these years. Will </w:t>
      </w:r>
      <w:proofErr w:type="spellStart"/>
      <w:r>
        <w:rPr>
          <w:rFonts w:ascii="Arial" w:hAnsi="Arial" w:cs="Arial"/>
          <w:color w:val="4D4D4D"/>
          <w:sz w:val="21"/>
          <w:szCs w:val="21"/>
        </w:rPr>
        <w:t>Carboin</w:t>
      </w:r>
      <w:proofErr w:type="spellEnd"/>
      <w:r>
        <w:rPr>
          <w:rFonts w:ascii="Arial" w:hAnsi="Arial" w:cs="Arial"/>
          <w:color w:val="4D4D4D"/>
          <w:sz w:val="21"/>
          <w:szCs w:val="21"/>
        </w:rPr>
        <w:t xml:space="preserve"> a solution to a sustainable Earth?</w:t>
      </w:r>
    </w:p>
    <w:p w:rsidR="000250F8" w:rsidRDefault="000250F8" w:rsidP="000250F8">
      <w:pPr>
        <w:pStyle w:val="NormalWeb"/>
        <w:spacing w:before="0" w:beforeAutospacing="0" w:after="225" w:afterAutospacing="0" w:line="384" w:lineRule="atLeast"/>
        <w:rPr>
          <w:rFonts w:ascii="Arial" w:hAnsi="Arial" w:cs="Arial"/>
          <w:color w:val="4D4D4D"/>
          <w:sz w:val="21"/>
          <w:szCs w:val="21"/>
        </w:rPr>
      </w:pPr>
      <w:r>
        <w:rPr>
          <w:rFonts w:ascii="Arial" w:hAnsi="Arial" w:cs="Arial"/>
          <w:color w:val="4D4D4D"/>
          <w:sz w:val="21"/>
          <w:szCs w:val="21"/>
        </w:rPr>
        <w:t>為了能夠讓玩家能更理解植物固碳的功能以及買賣作物當中對環境做的影響</w:t>
      </w:r>
      <w:r>
        <w:rPr>
          <w:rFonts w:ascii="Arial" w:hAnsi="Arial" w:cs="Arial"/>
          <w:color w:val="4D4D4D"/>
          <w:sz w:val="21"/>
          <w:szCs w:val="21"/>
        </w:rPr>
        <w:t xml:space="preserve">, </w:t>
      </w:r>
      <w:r>
        <w:rPr>
          <w:rFonts w:ascii="Arial" w:hAnsi="Arial" w:cs="Arial"/>
          <w:color w:val="4D4D4D"/>
          <w:sz w:val="21"/>
          <w:szCs w:val="21"/>
        </w:rPr>
        <w:t>我們設計了這個地球墾趣遊戲</w:t>
      </w:r>
      <w:r>
        <w:rPr>
          <w:rFonts w:ascii="Arial" w:hAnsi="Arial" w:cs="Arial"/>
          <w:color w:val="4D4D4D"/>
          <w:sz w:val="21"/>
          <w:szCs w:val="21"/>
        </w:rPr>
        <w:t xml:space="preserve">, </w:t>
      </w:r>
      <w:r>
        <w:rPr>
          <w:rFonts w:ascii="Arial" w:hAnsi="Arial" w:cs="Arial"/>
          <w:color w:val="4D4D4D"/>
          <w:sz w:val="21"/>
          <w:szCs w:val="21"/>
        </w:rPr>
        <w:t>以種植植物來獲取碳幣</w:t>
      </w:r>
      <w:r>
        <w:rPr>
          <w:rFonts w:ascii="Arial" w:hAnsi="Arial" w:cs="Arial"/>
          <w:color w:val="4D4D4D"/>
          <w:sz w:val="21"/>
          <w:szCs w:val="21"/>
        </w:rPr>
        <w:t>($C)</w:t>
      </w:r>
      <w:r>
        <w:rPr>
          <w:rFonts w:ascii="Arial" w:hAnsi="Arial" w:cs="Arial"/>
          <w:color w:val="4D4D4D"/>
          <w:sz w:val="21"/>
          <w:szCs w:val="21"/>
        </w:rPr>
        <w:t>與賣出獲取金錢</w:t>
      </w:r>
      <w:r>
        <w:rPr>
          <w:rFonts w:ascii="Arial" w:hAnsi="Arial" w:cs="Arial"/>
          <w:color w:val="4D4D4D"/>
          <w:sz w:val="21"/>
          <w:szCs w:val="21"/>
        </w:rPr>
        <w:t xml:space="preserve">($P) </w:t>
      </w:r>
      <w:r>
        <w:rPr>
          <w:rFonts w:ascii="Arial" w:hAnsi="Arial" w:cs="Arial"/>
          <w:color w:val="4D4D4D"/>
          <w:sz w:val="21"/>
          <w:szCs w:val="21"/>
        </w:rPr>
        <w:t>的活動</w:t>
      </w:r>
      <w:r>
        <w:rPr>
          <w:rFonts w:ascii="Arial" w:hAnsi="Arial" w:cs="Arial"/>
          <w:color w:val="4D4D4D"/>
          <w:sz w:val="21"/>
          <w:szCs w:val="21"/>
        </w:rPr>
        <w:t xml:space="preserve">, </w:t>
      </w:r>
      <w:r>
        <w:rPr>
          <w:rFonts w:ascii="Arial" w:hAnsi="Arial" w:cs="Arial"/>
          <w:color w:val="4D4D4D"/>
          <w:sz w:val="21"/>
          <w:szCs w:val="21"/>
        </w:rPr>
        <w:t>套入各種活動引起的環境變異</w:t>
      </w:r>
      <w:r>
        <w:rPr>
          <w:rFonts w:ascii="Arial" w:hAnsi="Arial" w:cs="Arial"/>
          <w:color w:val="4D4D4D"/>
          <w:sz w:val="21"/>
          <w:szCs w:val="21"/>
        </w:rPr>
        <w:t xml:space="preserve">, </w:t>
      </w:r>
      <w:r>
        <w:rPr>
          <w:rFonts w:ascii="Arial" w:hAnsi="Arial" w:cs="Arial"/>
          <w:color w:val="4D4D4D"/>
          <w:sz w:val="21"/>
          <w:szCs w:val="21"/>
        </w:rPr>
        <w:t>來理解這兩種貨幣系統的特色與糾葛</w:t>
      </w:r>
      <w:r>
        <w:rPr>
          <w:rFonts w:ascii="Arial" w:hAnsi="Arial" w:cs="Arial"/>
          <w:color w:val="4D4D4D"/>
          <w:sz w:val="21"/>
          <w:szCs w:val="21"/>
        </w:rPr>
        <w:t xml:space="preserve">. </w:t>
      </w:r>
      <w:r>
        <w:rPr>
          <w:rFonts w:ascii="Arial" w:hAnsi="Arial" w:cs="Arial"/>
          <w:color w:val="4D4D4D"/>
          <w:sz w:val="21"/>
          <w:szCs w:val="21"/>
        </w:rPr>
        <w:t>遊戲中引用的兩種科學估算模式一是由聯合國農糧署針對經濟作物所作的估算</w:t>
      </w:r>
      <w:r>
        <w:rPr>
          <w:rFonts w:ascii="Arial" w:hAnsi="Arial" w:cs="Arial"/>
          <w:color w:val="4D4D4D"/>
          <w:sz w:val="21"/>
          <w:szCs w:val="21"/>
        </w:rPr>
        <w:t xml:space="preserve"> (GAEZ), </w:t>
      </w:r>
      <w:r>
        <w:rPr>
          <w:rFonts w:ascii="Arial" w:hAnsi="Arial" w:cs="Arial"/>
          <w:color w:val="4D4D4D"/>
          <w:sz w:val="21"/>
          <w:szCs w:val="21"/>
        </w:rPr>
        <w:t>另者由科學家發表的生態系統對養分的使用效率以及初級生產量進行的估算</w:t>
      </w:r>
      <w:r>
        <w:rPr>
          <w:rFonts w:ascii="Arial" w:hAnsi="Arial" w:cs="Arial"/>
          <w:color w:val="4D4D4D"/>
          <w:sz w:val="21"/>
          <w:szCs w:val="21"/>
        </w:rPr>
        <w:t xml:space="preserve">(ORCHIDEE). </w:t>
      </w:r>
      <w:r>
        <w:rPr>
          <w:rFonts w:ascii="Arial" w:hAnsi="Arial" w:cs="Arial"/>
          <w:color w:val="4D4D4D"/>
          <w:sz w:val="21"/>
          <w:szCs w:val="21"/>
        </w:rPr>
        <w:t>影響植物生長的重要環境因素包括氣溫</w:t>
      </w:r>
      <w:r>
        <w:rPr>
          <w:rFonts w:ascii="Arial" w:hAnsi="Arial" w:cs="Arial"/>
          <w:color w:val="4D4D4D"/>
          <w:sz w:val="21"/>
          <w:szCs w:val="21"/>
        </w:rPr>
        <w:t xml:space="preserve">, </w:t>
      </w:r>
      <w:r>
        <w:rPr>
          <w:rFonts w:ascii="Arial" w:hAnsi="Arial" w:cs="Arial"/>
          <w:color w:val="4D4D4D"/>
          <w:sz w:val="21"/>
          <w:szCs w:val="21"/>
        </w:rPr>
        <w:t>水環境</w:t>
      </w:r>
      <w:r>
        <w:rPr>
          <w:rFonts w:ascii="Arial" w:hAnsi="Arial" w:cs="Arial"/>
          <w:color w:val="4D4D4D"/>
          <w:sz w:val="21"/>
          <w:szCs w:val="21"/>
        </w:rPr>
        <w:t xml:space="preserve">, </w:t>
      </w:r>
      <w:r>
        <w:rPr>
          <w:rFonts w:ascii="Arial" w:hAnsi="Arial" w:cs="Arial"/>
          <w:color w:val="4D4D4D"/>
          <w:sz w:val="21"/>
          <w:szCs w:val="21"/>
        </w:rPr>
        <w:t>陽光</w:t>
      </w:r>
      <w:r>
        <w:rPr>
          <w:rFonts w:ascii="Arial" w:hAnsi="Arial" w:cs="Arial"/>
          <w:color w:val="4D4D4D"/>
          <w:sz w:val="21"/>
          <w:szCs w:val="21"/>
        </w:rPr>
        <w:t xml:space="preserve">, </w:t>
      </w:r>
      <w:r>
        <w:rPr>
          <w:rFonts w:ascii="Arial" w:hAnsi="Arial" w:cs="Arial"/>
          <w:color w:val="4D4D4D"/>
          <w:sz w:val="21"/>
          <w:szCs w:val="21"/>
        </w:rPr>
        <w:t>與養分</w:t>
      </w:r>
      <w:r>
        <w:rPr>
          <w:rFonts w:ascii="Arial" w:hAnsi="Arial" w:cs="Arial"/>
          <w:color w:val="4D4D4D"/>
          <w:sz w:val="21"/>
          <w:szCs w:val="21"/>
        </w:rPr>
        <w:t xml:space="preserve">. </w:t>
      </w:r>
      <w:r>
        <w:rPr>
          <w:rFonts w:ascii="Arial" w:hAnsi="Arial" w:cs="Arial"/>
          <w:color w:val="4D4D4D"/>
          <w:sz w:val="21"/>
          <w:szCs w:val="21"/>
        </w:rPr>
        <w:t>同時我們也知道原始氣候條件已提供生態系統的多樣性</w:t>
      </w:r>
      <w:r>
        <w:rPr>
          <w:rFonts w:ascii="Arial" w:hAnsi="Arial" w:cs="Arial"/>
          <w:color w:val="4D4D4D"/>
          <w:sz w:val="21"/>
          <w:szCs w:val="21"/>
        </w:rPr>
        <w:t xml:space="preserve">, </w:t>
      </w:r>
      <w:r>
        <w:rPr>
          <w:rFonts w:ascii="Arial" w:hAnsi="Arial" w:cs="Arial"/>
          <w:color w:val="4D4D4D"/>
          <w:sz w:val="21"/>
          <w:szCs w:val="21"/>
        </w:rPr>
        <w:t>例如植物群系</w:t>
      </w:r>
      <w:r>
        <w:rPr>
          <w:rFonts w:ascii="Arial" w:hAnsi="Arial" w:cs="Arial"/>
          <w:color w:val="4D4D4D"/>
          <w:sz w:val="21"/>
          <w:szCs w:val="21"/>
        </w:rPr>
        <w:t xml:space="preserve">(Ecoregions). </w:t>
      </w:r>
      <w:r>
        <w:rPr>
          <w:rFonts w:ascii="Arial" w:hAnsi="Arial" w:cs="Arial"/>
          <w:color w:val="4D4D4D"/>
          <w:sz w:val="21"/>
          <w:szCs w:val="21"/>
        </w:rPr>
        <w:t>當你登入這個遊戲</w:t>
      </w:r>
      <w:r>
        <w:rPr>
          <w:rFonts w:ascii="Arial" w:hAnsi="Arial" w:cs="Arial"/>
          <w:color w:val="4D4D4D"/>
          <w:sz w:val="21"/>
          <w:szCs w:val="21"/>
        </w:rPr>
        <w:t xml:space="preserve">, </w:t>
      </w:r>
      <w:r>
        <w:rPr>
          <w:rFonts w:ascii="Arial" w:hAnsi="Arial" w:cs="Arial"/>
          <w:color w:val="4D4D4D"/>
          <w:sz w:val="21"/>
          <w:szCs w:val="21"/>
        </w:rPr>
        <w:t>你會先看到從衛星</w:t>
      </w:r>
      <w:r>
        <w:rPr>
          <w:rFonts w:ascii="Arial" w:hAnsi="Arial" w:cs="Arial"/>
          <w:color w:val="4D4D4D"/>
          <w:sz w:val="21"/>
          <w:szCs w:val="21"/>
        </w:rPr>
        <w:t>(NASA-GLDAS-NOAH025)</w:t>
      </w:r>
      <w:r>
        <w:rPr>
          <w:rFonts w:ascii="Arial" w:hAnsi="Arial" w:cs="Arial"/>
          <w:color w:val="4D4D4D"/>
          <w:sz w:val="21"/>
          <w:szCs w:val="21"/>
        </w:rPr>
        <w:t>實際觀測與推估出的狀況如何</w:t>
      </w:r>
      <w:r>
        <w:rPr>
          <w:rFonts w:ascii="Arial" w:hAnsi="Arial" w:cs="Arial"/>
          <w:color w:val="4D4D4D"/>
          <w:sz w:val="21"/>
          <w:szCs w:val="21"/>
        </w:rPr>
        <w:t xml:space="preserve">. </w:t>
      </w:r>
      <w:r>
        <w:rPr>
          <w:rFonts w:ascii="Arial" w:hAnsi="Arial" w:cs="Arial"/>
          <w:color w:val="4D4D4D"/>
          <w:sz w:val="21"/>
          <w:szCs w:val="21"/>
        </w:rPr>
        <w:t>你會開始注意到遊戲的時間內</w:t>
      </w:r>
      <w:r>
        <w:rPr>
          <w:rFonts w:ascii="Arial" w:hAnsi="Arial" w:cs="Arial"/>
          <w:color w:val="4D4D4D"/>
          <w:sz w:val="21"/>
          <w:szCs w:val="21"/>
        </w:rPr>
        <w:t xml:space="preserve">, </w:t>
      </w:r>
      <w:r>
        <w:rPr>
          <w:rFonts w:ascii="Arial" w:hAnsi="Arial" w:cs="Arial"/>
          <w:color w:val="4D4D4D"/>
          <w:sz w:val="21"/>
          <w:szCs w:val="21"/>
        </w:rPr>
        <w:t>環境狀況在這幾年的變化</w:t>
      </w:r>
      <w:r>
        <w:rPr>
          <w:rFonts w:ascii="Arial" w:hAnsi="Arial" w:cs="Arial"/>
          <w:color w:val="4D4D4D"/>
          <w:sz w:val="21"/>
          <w:szCs w:val="21"/>
        </w:rPr>
        <w:t xml:space="preserve">! </w:t>
      </w:r>
      <w:r>
        <w:rPr>
          <w:rFonts w:ascii="Arial" w:hAnsi="Arial" w:cs="Arial"/>
          <w:color w:val="4D4D4D"/>
          <w:sz w:val="21"/>
          <w:szCs w:val="21"/>
        </w:rPr>
        <w:t>現在</w:t>
      </w:r>
      <w:r>
        <w:rPr>
          <w:rFonts w:ascii="Arial" w:hAnsi="Arial" w:cs="Arial"/>
          <w:color w:val="4D4D4D"/>
          <w:sz w:val="21"/>
          <w:szCs w:val="21"/>
        </w:rPr>
        <w:t xml:space="preserve">, </w:t>
      </w:r>
      <w:r>
        <w:rPr>
          <w:rFonts w:ascii="Arial" w:hAnsi="Arial" w:cs="Arial"/>
          <w:color w:val="4D4D4D"/>
          <w:sz w:val="21"/>
          <w:szCs w:val="21"/>
        </w:rPr>
        <w:t>你有任務了</w:t>
      </w:r>
      <w:r>
        <w:rPr>
          <w:rFonts w:ascii="Arial" w:hAnsi="Arial" w:cs="Arial"/>
          <w:color w:val="4D4D4D"/>
          <w:sz w:val="21"/>
          <w:szCs w:val="21"/>
        </w:rPr>
        <w:t xml:space="preserve">, </w:t>
      </w:r>
      <w:r>
        <w:rPr>
          <w:rFonts w:ascii="Arial" w:hAnsi="Arial" w:cs="Arial"/>
          <w:color w:val="4D4D4D"/>
          <w:sz w:val="21"/>
          <w:szCs w:val="21"/>
        </w:rPr>
        <w:t>要怎麼同時積累碳幣與貨幣呢</w:t>
      </w:r>
      <w:r>
        <w:rPr>
          <w:rFonts w:ascii="Arial" w:hAnsi="Arial" w:cs="Arial"/>
          <w:color w:val="4D4D4D"/>
          <w:sz w:val="21"/>
          <w:szCs w:val="21"/>
        </w:rPr>
        <w:t xml:space="preserve">? </w:t>
      </w:r>
      <w:r>
        <w:rPr>
          <w:rFonts w:ascii="Arial" w:hAnsi="Arial" w:cs="Arial"/>
          <w:color w:val="4D4D4D"/>
          <w:sz w:val="21"/>
          <w:szCs w:val="21"/>
        </w:rPr>
        <w:t>碳幣可以拯救地球嗎？</w:t>
      </w:r>
    </w:p>
    <w:p w:rsidR="000250F8" w:rsidRDefault="000250F8" w:rsidP="000250F8">
      <w:pPr>
        <w:pStyle w:val="NormalWeb"/>
        <w:spacing w:before="0" w:beforeAutospacing="0" w:after="225" w:afterAutospacing="0" w:line="384" w:lineRule="atLeast"/>
        <w:rPr>
          <w:rFonts w:ascii="Arial" w:hAnsi="Arial" w:cs="Arial"/>
          <w:color w:val="4D4D4D"/>
          <w:sz w:val="21"/>
          <w:szCs w:val="21"/>
        </w:rPr>
      </w:pPr>
    </w:p>
    <w:p w:rsidR="000250F8" w:rsidRDefault="000250F8" w:rsidP="000250F8">
      <w:pPr>
        <w:pStyle w:val="Heading4"/>
        <w:spacing w:before="0" w:beforeAutospacing="0" w:after="120" w:afterAutospacing="0"/>
        <w:rPr>
          <w:rFonts w:ascii="Arial" w:hAnsi="Arial" w:cs="Arial"/>
          <w:color w:val="000000"/>
          <w:sz w:val="27"/>
          <w:szCs w:val="27"/>
        </w:rPr>
      </w:pPr>
      <w:r>
        <w:rPr>
          <w:rFonts w:ascii="Arial" w:hAnsi="Arial" w:cs="Arial"/>
          <w:color w:val="000000"/>
          <w:sz w:val="27"/>
          <w:szCs w:val="27"/>
        </w:rPr>
        <w:t>Datasets:</w:t>
      </w:r>
    </w:p>
    <w:p w:rsidR="000250F8" w:rsidRDefault="000250F8" w:rsidP="000250F8">
      <w:pPr>
        <w:widowControl/>
        <w:numPr>
          <w:ilvl w:val="0"/>
          <w:numId w:val="5"/>
        </w:numPr>
        <w:spacing w:before="100" w:beforeAutospacing="1" w:after="100" w:afterAutospacing="1" w:line="384" w:lineRule="atLeast"/>
        <w:ind w:left="0"/>
        <w:rPr>
          <w:rFonts w:ascii="Arial" w:hAnsi="Arial" w:cs="Arial"/>
          <w:color w:val="4D4D4D"/>
          <w:sz w:val="21"/>
          <w:szCs w:val="21"/>
        </w:rPr>
      </w:pPr>
      <w:r>
        <w:rPr>
          <w:rFonts w:ascii="Arial" w:hAnsi="Arial" w:cs="Arial"/>
          <w:color w:val="4D4D4D"/>
          <w:sz w:val="21"/>
          <w:szCs w:val="21"/>
        </w:rPr>
        <w:lastRenderedPageBreak/>
        <w:t>FAO of UN: Global Agro</w:t>
      </w:r>
      <w:r>
        <w:rPr>
          <w:rFonts w:ascii="微軟正黑體" w:eastAsia="微軟正黑體" w:hAnsi="微軟正黑體" w:cs="微軟正黑體" w:hint="eastAsia"/>
          <w:color w:val="4D4D4D"/>
          <w:sz w:val="21"/>
          <w:szCs w:val="21"/>
        </w:rPr>
        <w:t>‐</w:t>
      </w:r>
      <w:r>
        <w:rPr>
          <w:rFonts w:ascii="Arial" w:hAnsi="Arial" w:cs="Arial"/>
          <w:color w:val="4D4D4D"/>
          <w:sz w:val="21"/>
          <w:szCs w:val="21"/>
        </w:rPr>
        <w:t>Ecological Zones (</w:t>
      </w:r>
      <w:hyperlink r:id="rId5" w:tgtFrame="_blank" w:history="1">
        <w:r>
          <w:rPr>
            <w:rStyle w:val="Hyperlink"/>
            <w:rFonts w:ascii="Arial" w:hAnsi="Arial" w:cs="Arial"/>
            <w:color w:val="1155CC"/>
            <w:sz w:val="21"/>
            <w:szCs w:val="21"/>
          </w:rPr>
          <w:t>GAEZ v3.0</w:t>
        </w:r>
      </w:hyperlink>
      <w:r>
        <w:rPr>
          <w:rFonts w:ascii="Arial" w:hAnsi="Arial" w:cs="Arial"/>
          <w:color w:val="4D4D4D"/>
          <w:sz w:val="21"/>
          <w:szCs w:val="21"/>
        </w:rPr>
        <w:t xml:space="preserve">): the parameters used in maize is in Appendix 73. Take </w:t>
      </w:r>
      <w:proofErr w:type="spellStart"/>
      <w:r>
        <w:rPr>
          <w:rFonts w:ascii="Arial" w:hAnsi="Arial" w:cs="Arial"/>
          <w:color w:val="4D4D4D"/>
          <w:sz w:val="21"/>
          <w:szCs w:val="21"/>
        </w:rPr>
        <w:t>Meize</w:t>
      </w:r>
      <w:proofErr w:type="spellEnd"/>
      <w:r>
        <w:rPr>
          <w:rFonts w:ascii="Arial" w:hAnsi="Arial" w:cs="Arial"/>
          <w:color w:val="4D4D4D"/>
          <w:sz w:val="21"/>
          <w:szCs w:val="21"/>
        </w:rPr>
        <w:t xml:space="preserve"> as an example, click </w:t>
      </w:r>
      <w:hyperlink r:id="rId6" w:tgtFrame="_blank" w:history="1">
        <w:r>
          <w:rPr>
            <w:rStyle w:val="Hyperlink"/>
            <w:rFonts w:ascii="Arial" w:hAnsi="Arial" w:cs="Arial"/>
            <w:color w:val="1155CC"/>
            <w:sz w:val="21"/>
            <w:szCs w:val="21"/>
          </w:rPr>
          <w:t>here</w:t>
        </w:r>
      </w:hyperlink>
      <w:r>
        <w:rPr>
          <w:rFonts w:ascii="Arial" w:hAnsi="Arial" w:cs="Arial"/>
          <w:color w:val="4D4D4D"/>
          <w:sz w:val="21"/>
          <w:szCs w:val="21"/>
        </w:rPr>
        <w:t>.</w:t>
      </w:r>
    </w:p>
    <w:p w:rsidR="000250F8" w:rsidRDefault="000250F8" w:rsidP="000250F8">
      <w:pPr>
        <w:widowControl/>
        <w:numPr>
          <w:ilvl w:val="0"/>
          <w:numId w:val="5"/>
        </w:numPr>
        <w:spacing w:before="100" w:beforeAutospacing="1" w:after="100" w:afterAutospacing="1" w:line="384" w:lineRule="atLeast"/>
        <w:ind w:left="0"/>
        <w:rPr>
          <w:rFonts w:ascii="Arial" w:hAnsi="Arial" w:cs="Arial"/>
          <w:color w:val="4D4D4D"/>
          <w:sz w:val="21"/>
          <w:szCs w:val="21"/>
        </w:rPr>
      </w:pPr>
      <w:hyperlink r:id="rId7" w:tgtFrame="_blank" w:history="1">
        <w:r>
          <w:rPr>
            <w:rStyle w:val="Hyperlink"/>
            <w:rFonts w:ascii="Arial" w:hAnsi="Arial" w:cs="Arial"/>
            <w:color w:val="1155CC"/>
            <w:sz w:val="21"/>
            <w:szCs w:val="21"/>
          </w:rPr>
          <w:t>NASA GLDAS Version 2 Data Products</w:t>
        </w:r>
      </w:hyperlink>
    </w:p>
    <w:p w:rsidR="000250F8" w:rsidRDefault="000250F8" w:rsidP="000250F8">
      <w:pPr>
        <w:widowControl/>
        <w:numPr>
          <w:ilvl w:val="0"/>
          <w:numId w:val="5"/>
        </w:numPr>
        <w:spacing w:before="100" w:beforeAutospacing="1" w:after="100" w:afterAutospacing="1" w:line="384" w:lineRule="atLeast"/>
        <w:ind w:left="0"/>
        <w:rPr>
          <w:rFonts w:ascii="Arial" w:hAnsi="Arial" w:cs="Arial"/>
          <w:color w:val="4D4D4D"/>
          <w:sz w:val="21"/>
          <w:szCs w:val="21"/>
        </w:rPr>
      </w:pPr>
      <w:hyperlink r:id="rId8" w:tgtFrame="_blank" w:history="1">
        <w:r>
          <w:rPr>
            <w:rStyle w:val="Hyperlink"/>
            <w:rFonts w:ascii="Arial" w:hAnsi="Arial" w:cs="Arial"/>
            <w:color w:val="1155CC"/>
            <w:sz w:val="21"/>
            <w:szCs w:val="21"/>
          </w:rPr>
          <w:t>Ecoregions of the world</w:t>
        </w:r>
      </w:hyperlink>
      <w:r>
        <w:rPr>
          <w:rFonts w:ascii="Arial" w:hAnsi="Arial" w:cs="Arial"/>
          <w:color w:val="4D4D4D"/>
          <w:sz w:val="21"/>
          <w:szCs w:val="21"/>
        </w:rPr>
        <w:t> (published by Bailey 1989)</w:t>
      </w:r>
    </w:p>
    <w:p w:rsidR="000250F8" w:rsidRDefault="000250F8" w:rsidP="000250F8">
      <w:pPr>
        <w:pStyle w:val="Heading4"/>
        <w:spacing w:before="0" w:beforeAutospacing="0" w:after="120" w:afterAutospacing="0"/>
        <w:rPr>
          <w:rFonts w:ascii="Arial" w:hAnsi="Arial" w:cs="Arial"/>
          <w:color w:val="000000"/>
          <w:sz w:val="27"/>
          <w:szCs w:val="27"/>
        </w:rPr>
      </w:pPr>
      <w:r>
        <w:rPr>
          <w:rFonts w:ascii="Arial" w:hAnsi="Arial" w:cs="Arial"/>
          <w:color w:val="000000"/>
          <w:sz w:val="27"/>
          <w:szCs w:val="27"/>
        </w:rPr>
        <w:t xml:space="preserve">Plants in the </w:t>
      </w:r>
      <w:proofErr w:type="spellStart"/>
      <w:r>
        <w:rPr>
          <w:rFonts w:ascii="Arial" w:hAnsi="Arial" w:cs="Arial"/>
          <w:color w:val="000000"/>
          <w:sz w:val="27"/>
          <w:szCs w:val="27"/>
        </w:rPr>
        <w:t>Carboin</w:t>
      </w:r>
      <w:proofErr w:type="spellEnd"/>
      <w:r>
        <w:rPr>
          <w:rFonts w:ascii="Arial" w:hAnsi="Arial" w:cs="Arial"/>
          <w:color w:val="000000"/>
          <w:sz w:val="27"/>
          <w:szCs w:val="27"/>
        </w:rPr>
        <w:t xml:space="preserve"> system:</w:t>
      </w:r>
    </w:p>
    <w:p w:rsidR="000250F8" w:rsidRDefault="000250F8" w:rsidP="000250F8">
      <w:pPr>
        <w:widowControl/>
        <w:numPr>
          <w:ilvl w:val="0"/>
          <w:numId w:val="6"/>
        </w:numPr>
        <w:spacing w:before="100" w:beforeAutospacing="1" w:after="100" w:afterAutospacing="1" w:line="384" w:lineRule="atLeast"/>
        <w:ind w:left="0"/>
        <w:rPr>
          <w:rFonts w:ascii="Arial" w:hAnsi="Arial" w:cs="Arial"/>
          <w:color w:val="4D4D4D"/>
          <w:sz w:val="21"/>
          <w:szCs w:val="21"/>
        </w:rPr>
      </w:pPr>
      <w:r>
        <w:rPr>
          <w:rFonts w:ascii="Arial" w:hAnsi="Arial" w:cs="Arial"/>
          <w:color w:val="4D4D4D"/>
          <w:sz w:val="21"/>
          <w:szCs w:val="21"/>
        </w:rPr>
        <w:t>Cedar (i.e. </w:t>
      </w:r>
      <w:proofErr w:type="spellStart"/>
      <w:r>
        <w:rPr>
          <w:rFonts w:ascii="Arial" w:hAnsi="Arial" w:cs="Arial"/>
          <w:i/>
          <w:iCs/>
          <w:color w:val="4D4D4D"/>
          <w:sz w:val="21"/>
          <w:szCs w:val="21"/>
        </w:rPr>
        <w:t>Calocedrus</w:t>
      </w:r>
      <w:proofErr w:type="spellEnd"/>
      <w:r>
        <w:rPr>
          <w:rFonts w:ascii="Arial" w:hAnsi="Arial" w:cs="Arial"/>
          <w:i/>
          <w:iCs/>
          <w:color w:val="4D4D4D"/>
          <w:sz w:val="21"/>
          <w:szCs w:val="21"/>
        </w:rPr>
        <w:t xml:space="preserve"> </w:t>
      </w:r>
      <w:proofErr w:type="spellStart"/>
      <w:r>
        <w:rPr>
          <w:rFonts w:ascii="Arial" w:hAnsi="Arial" w:cs="Arial"/>
          <w:i/>
          <w:iCs/>
          <w:color w:val="4D4D4D"/>
          <w:sz w:val="21"/>
          <w:szCs w:val="21"/>
        </w:rPr>
        <w:t>formosensis</w:t>
      </w:r>
      <w:proofErr w:type="spellEnd"/>
      <w:r>
        <w:rPr>
          <w:rFonts w:ascii="Arial" w:hAnsi="Arial" w:cs="Arial"/>
          <w:color w:val="4D4D4D"/>
          <w:sz w:val="21"/>
          <w:szCs w:val="21"/>
        </w:rPr>
        <w:t>): a type of softwood commonly found in temperate regions</w:t>
      </w:r>
    </w:p>
    <w:p w:rsidR="000250F8" w:rsidRDefault="000250F8" w:rsidP="000250F8">
      <w:pPr>
        <w:widowControl/>
        <w:numPr>
          <w:ilvl w:val="0"/>
          <w:numId w:val="6"/>
        </w:numPr>
        <w:spacing w:before="100" w:beforeAutospacing="1" w:after="100" w:afterAutospacing="1" w:line="384" w:lineRule="atLeast"/>
        <w:ind w:left="0"/>
        <w:rPr>
          <w:rFonts w:ascii="Arial" w:hAnsi="Arial" w:cs="Arial"/>
          <w:color w:val="4D4D4D"/>
          <w:sz w:val="21"/>
          <w:szCs w:val="21"/>
        </w:rPr>
      </w:pPr>
      <w:proofErr w:type="spellStart"/>
      <w:r>
        <w:rPr>
          <w:rFonts w:ascii="Arial" w:hAnsi="Arial" w:cs="Arial"/>
          <w:color w:val="4D4D4D"/>
          <w:sz w:val="21"/>
          <w:szCs w:val="21"/>
        </w:rPr>
        <w:t>Acasia</w:t>
      </w:r>
      <w:proofErr w:type="spellEnd"/>
      <w:r>
        <w:rPr>
          <w:rFonts w:ascii="Arial" w:hAnsi="Arial" w:cs="Arial"/>
          <w:color w:val="4D4D4D"/>
          <w:sz w:val="21"/>
          <w:szCs w:val="21"/>
        </w:rPr>
        <w:t xml:space="preserve"> (i.e. </w:t>
      </w:r>
      <w:r>
        <w:rPr>
          <w:rFonts w:ascii="Arial" w:hAnsi="Arial" w:cs="Arial"/>
          <w:i/>
          <w:iCs/>
          <w:color w:val="4D4D4D"/>
          <w:sz w:val="21"/>
          <w:szCs w:val="21"/>
        </w:rPr>
        <w:t xml:space="preserve">Acacia </w:t>
      </w:r>
      <w:proofErr w:type="spellStart"/>
      <w:r>
        <w:rPr>
          <w:rFonts w:ascii="Arial" w:hAnsi="Arial" w:cs="Arial"/>
          <w:i/>
          <w:iCs/>
          <w:color w:val="4D4D4D"/>
          <w:sz w:val="21"/>
          <w:szCs w:val="21"/>
        </w:rPr>
        <w:t>confusa</w:t>
      </w:r>
      <w:proofErr w:type="spellEnd"/>
      <w:r>
        <w:rPr>
          <w:rFonts w:ascii="Arial" w:hAnsi="Arial" w:cs="Arial"/>
          <w:color w:val="4D4D4D"/>
          <w:sz w:val="21"/>
          <w:szCs w:val="21"/>
        </w:rPr>
        <w:t>): a type of hardwood commonly found in tropical and subtropical regions</w:t>
      </w:r>
    </w:p>
    <w:p w:rsidR="000250F8" w:rsidRDefault="000250F8" w:rsidP="000250F8">
      <w:pPr>
        <w:widowControl/>
        <w:numPr>
          <w:ilvl w:val="0"/>
          <w:numId w:val="6"/>
        </w:numPr>
        <w:spacing w:before="100" w:beforeAutospacing="1" w:after="100" w:afterAutospacing="1" w:line="384" w:lineRule="atLeast"/>
        <w:ind w:left="0"/>
        <w:rPr>
          <w:rFonts w:ascii="Arial" w:hAnsi="Arial" w:cs="Arial"/>
          <w:color w:val="4D4D4D"/>
          <w:sz w:val="21"/>
          <w:szCs w:val="21"/>
        </w:rPr>
      </w:pPr>
      <w:r>
        <w:rPr>
          <w:rFonts w:ascii="Arial" w:hAnsi="Arial" w:cs="Arial"/>
          <w:color w:val="4D4D4D"/>
          <w:sz w:val="21"/>
          <w:szCs w:val="21"/>
        </w:rPr>
        <w:t>Rice (i.e. </w:t>
      </w:r>
      <w:proofErr w:type="spellStart"/>
      <w:r>
        <w:rPr>
          <w:rFonts w:ascii="Arial" w:hAnsi="Arial" w:cs="Arial"/>
          <w:i/>
          <w:iCs/>
          <w:color w:val="4D4D4D"/>
          <w:sz w:val="21"/>
          <w:szCs w:val="21"/>
        </w:rPr>
        <w:t>Oryza</w:t>
      </w:r>
      <w:proofErr w:type="spellEnd"/>
      <w:r>
        <w:rPr>
          <w:rFonts w:ascii="Arial" w:hAnsi="Arial" w:cs="Arial"/>
          <w:i/>
          <w:iCs/>
          <w:color w:val="4D4D4D"/>
          <w:sz w:val="21"/>
          <w:szCs w:val="21"/>
        </w:rPr>
        <w:t xml:space="preserve"> sativa subsp. japonica</w:t>
      </w:r>
      <w:r>
        <w:rPr>
          <w:rStyle w:val="redactor-invisible-space"/>
          <w:rFonts w:ascii="Arial" w:hAnsi="Arial" w:cs="Arial"/>
          <w:color w:val="4D4D4D"/>
          <w:sz w:val="21"/>
          <w:szCs w:val="21"/>
        </w:rPr>
        <w:t xml:space="preserve">): second largest </w:t>
      </w:r>
      <w:proofErr w:type="spellStart"/>
      <w:r>
        <w:rPr>
          <w:rStyle w:val="redactor-invisible-space"/>
          <w:rFonts w:ascii="Arial" w:hAnsi="Arial" w:cs="Arial"/>
          <w:color w:val="4D4D4D"/>
          <w:sz w:val="21"/>
          <w:szCs w:val="21"/>
        </w:rPr>
        <w:t>produce</w:t>
      </w:r>
      <w:proofErr w:type="spellEnd"/>
      <w:r>
        <w:rPr>
          <w:rStyle w:val="redactor-invisible-space"/>
          <w:rFonts w:ascii="Arial" w:hAnsi="Arial" w:cs="Arial"/>
          <w:color w:val="4D4D4D"/>
          <w:sz w:val="21"/>
          <w:szCs w:val="21"/>
        </w:rPr>
        <w:t xml:space="preserve"> of staple food of the world</w:t>
      </w:r>
    </w:p>
    <w:p w:rsidR="000250F8" w:rsidRDefault="000250F8" w:rsidP="000250F8">
      <w:pPr>
        <w:widowControl/>
        <w:numPr>
          <w:ilvl w:val="0"/>
          <w:numId w:val="6"/>
        </w:numPr>
        <w:spacing w:before="100" w:beforeAutospacing="1" w:after="100" w:afterAutospacing="1" w:line="384" w:lineRule="atLeast"/>
        <w:ind w:left="0"/>
        <w:rPr>
          <w:rFonts w:ascii="Arial" w:hAnsi="Arial" w:cs="Arial"/>
          <w:color w:val="4D4D4D"/>
          <w:sz w:val="21"/>
          <w:szCs w:val="21"/>
        </w:rPr>
      </w:pPr>
      <w:proofErr w:type="spellStart"/>
      <w:r>
        <w:rPr>
          <w:rFonts w:ascii="Arial" w:hAnsi="Arial" w:cs="Arial"/>
          <w:color w:val="4D4D4D"/>
          <w:sz w:val="21"/>
          <w:szCs w:val="21"/>
        </w:rPr>
        <w:t>Meize</w:t>
      </w:r>
      <w:proofErr w:type="spellEnd"/>
      <w:r>
        <w:rPr>
          <w:rFonts w:ascii="Arial" w:hAnsi="Arial" w:cs="Arial"/>
          <w:color w:val="4D4D4D"/>
          <w:sz w:val="21"/>
          <w:szCs w:val="21"/>
        </w:rPr>
        <w:t xml:space="preserve"> (i.e. </w:t>
      </w:r>
      <w:proofErr w:type="spellStart"/>
      <w:r>
        <w:rPr>
          <w:rFonts w:ascii="Arial" w:hAnsi="Arial" w:cs="Arial"/>
          <w:i/>
          <w:iCs/>
          <w:color w:val="4D4D4D"/>
          <w:sz w:val="21"/>
          <w:szCs w:val="21"/>
        </w:rPr>
        <w:t>Zea</w:t>
      </w:r>
      <w:proofErr w:type="spellEnd"/>
      <w:r>
        <w:rPr>
          <w:rFonts w:ascii="Arial" w:hAnsi="Arial" w:cs="Arial"/>
          <w:i/>
          <w:iCs/>
          <w:color w:val="4D4D4D"/>
          <w:sz w:val="21"/>
          <w:szCs w:val="21"/>
        </w:rPr>
        <w:t xml:space="preserve"> mays</w:t>
      </w:r>
      <w:r>
        <w:rPr>
          <w:rFonts w:ascii="Arial" w:hAnsi="Arial" w:cs="Arial"/>
          <w:color w:val="4D4D4D"/>
          <w:sz w:val="21"/>
          <w:szCs w:val="21"/>
        </w:rPr>
        <w:t>): the most consumed crop of the world as it is adaptive to various climate</w:t>
      </w:r>
    </w:p>
    <w:p w:rsidR="000250F8" w:rsidRDefault="000250F8" w:rsidP="000250F8">
      <w:pPr>
        <w:widowControl/>
        <w:numPr>
          <w:ilvl w:val="0"/>
          <w:numId w:val="6"/>
        </w:numPr>
        <w:spacing w:before="100" w:beforeAutospacing="1" w:after="100" w:afterAutospacing="1" w:line="384" w:lineRule="atLeast"/>
        <w:ind w:left="0"/>
        <w:rPr>
          <w:rFonts w:ascii="Arial" w:hAnsi="Arial" w:cs="Arial"/>
          <w:color w:val="4D4D4D"/>
          <w:sz w:val="21"/>
          <w:szCs w:val="21"/>
        </w:rPr>
      </w:pPr>
      <w:r>
        <w:rPr>
          <w:rFonts w:ascii="Arial" w:hAnsi="Arial" w:cs="Arial"/>
          <w:color w:val="4D4D4D"/>
          <w:sz w:val="21"/>
          <w:szCs w:val="21"/>
        </w:rPr>
        <w:t>Wheat (i.e. </w:t>
      </w:r>
      <w:proofErr w:type="spellStart"/>
      <w:r>
        <w:rPr>
          <w:rFonts w:ascii="Arial" w:hAnsi="Arial" w:cs="Arial"/>
          <w:i/>
          <w:iCs/>
          <w:color w:val="4D4D4D"/>
          <w:sz w:val="21"/>
          <w:szCs w:val="21"/>
        </w:rPr>
        <w:t>Triticum</w:t>
      </w:r>
      <w:proofErr w:type="spellEnd"/>
      <w:r>
        <w:rPr>
          <w:rFonts w:ascii="Arial" w:hAnsi="Arial" w:cs="Arial"/>
          <w:i/>
          <w:iCs/>
          <w:color w:val="4D4D4D"/>
          <w:sz w:val="21"/>
          <w:szCs w:val="21"/>
        </w:rPr>
        <w:t xml:space="preserve"> </w:t>
      </w:r>
      <w:proofErr w:type="spellStart"/>
      <w:r>
        <w:rPr>
          <w:rFonts w:ascii="Arial" w:hAnsi="Arial" w:cs="Arial"/>
          <w:i/>
          <w:iCs/>
          <w:color w:val="4D4D4D"/>
          <w:sz w:val="21"/>
          <w:szCs w:val="21"/>
        </w:rPr>
        <w:t>aeostivum</w:t>
      </w:r>
      <w:proofErr w:type="spellEnd"/>
      <w:r>
        <w:rPr>
          <w:rFonts w:ascii="Arial" w:hAnsi="Arial" w:cs="Arial"/>
          <w:color w:val="4D4D4D"/>
          <w:sz w:val="21"/>
          <w:szCs w:val="21"/>
        </w:rPr>
        <w:t>): grow under temperate climate and widely distribute to the rest of the world</w:t>
      </w:r>
    </w:p>
    <w:p w:rsidR="000250F8" w:rsidRDefault="000250F8" w:rsidP="000250F8">
      <w:pPr>
        <w:pStyle w:val="Heading4"/>
        <w:spacing w:before="0" w:beforeAutospacing="0" w:after="120" w:afterAutospacing="0"/>
        <w:rPr>
          <w:rFonts w:ascii="Arial" w:hAnsi="Arial" w:cs="Arial"/>
          <w:color w:val="000000"/>
          <w:sz w:val="27"/>
          <w:szCs w:val="27"/>
        </w:rPr>
      </w:pPr>
      <w:r>
        <w:rPr>
          <w:rFonts w:ascii="Arial" w:hAnsi="Arial" w:cs="Arial"/>
          <w:color w:val="000000"/>
          <w:sz w:val="27"/>
          <w:szCs w:val="27"/>
        </w:rPr>
        <w:t>References:</w:t>
      </w:r>
    </w:p>
    <w:p w:rsidR="000250F8" w:rsidRDefault="000250F8" w:rsidP="000250F8">
      <w:pPr>
        <w:pStyle w:val="NormalWeb"/>
        <w:spacing w:before="0" w:beforeAutospacing="0" w:after="225" w:afterAutospacing="0" w:line="384" w:lineRule="atLeast"/>
        <w:rPr>
          <w:rFonts w:ascii="Arial" w:hAnsi="Arial" w:cs="Arial"/>
          <w:color w:val="4D4D4D"/>
          <w:sz w:val="21"/>
          <w:szCs w:val="21"/>
        </w:rPr>
      </w:pPr>
      <w:proofErr w:type="spellStart"/>
      <w:r>
        <w:rPr>
          <w:rFonts w:ascii="Arial" w:hAnsi="Arial" w:cs="Arial"/>
          <w:color w:val="4D4D4D"/>
          <w:sz w:val="21"/>
          <w:szCs w:val="21"/>
        </w:rPr>
        <w:t>Vuichard</w:t>
      </w:r>
      <w:proofErr w:type="spellEnd"/>
      <w:r>
        <w:rPr>
          <w:rFonts w:ascii="Arial" w:hAnsi="Arial" w:cs="Arial"/>
          <w:color w:val="4D4D4D"/>
          <w:sz w:val="21"/>
          <w:szCs w:val="21"/>
        </w:rPr>
        <w:t xml:space="preserve">, N., Messina, P., </w:t>
      </w:r>
      <w:proofErr w:type="spellStart"/>
      <w:r>
        <w:rPr>
          <w:rFonts w:ascii="Arial" w:hAnsi="Arial" w:cs="Arial"/>
          <w:color w:val="4D4D4D"/>
          <w:sz w:val="21"/>
          <w:szCs w:val="21"/>
        </w:rPr>
        <w:t>Luyssaert</w:t>
      </w:r>
      <w:proofErr w:type="spellEnd"/>
      <w:r>
        <w:rPr>
          <w:rFonts w:ascii="Arial" w:hAnsi="Arial" w:cs="Arial"/>
          <w:color w:val="4D4D4D"/>
          <w:sz w:val="21"/>
          <w:szCs w:val="21"/>
        </w:rPr>
        <w:t xml:space="preserve">, S., </w:t>
      </w:r>
      <w:proofErr w:type="spellStart"/>
      <w:r>
        <w:rPr>
          <w:rFonts w:ascii="Arial" w:hAnsi="Arial" w:cs="Arial"/>
          <w:color w:val="4D4D4D"/>
          <w:sz w:val="21"/>
          <w:szCs w:val="21"/>
        </w:rPr>
        <w:t>Guenet</w:t>
      </w:r>
      <w:proofErr w:type="spellEnd"/>
      <w:r>
        <w:rPr>
          <w:rFonts w:ascii="Arial" w:hAnsi="Arial" w:cs="Arial"/>
          <w:color w:val="4D4D4D"/>
          <w:sz w:val="21"/>
          <w:szCs w:val="21"/>
        </w:rPr>
        <w:t xml:space="preserve">, B., </w:t>
      </w:r>
      <w:proofErr w:type="spellStart"/>
      <w:r>
        <w:rPr>
          <w:rFonts w:ascii="Arial" w:hAnsi="Arial" w:cs="Arial"/>
          <w:color w:val="4D4D4D"/>
          <w:sz w:val="21"/>
          <w:szCs w:val="21"/>
        </w:rPr>
        <w:t>Zaehle</w:t>
      </w:r>
      <w:proofErr w:type="spellEnd"/>
      <w:r>
        <w:rPr>
          <w:rFonts w:ascii="Arial" w:hAnsi="Arial" w:cs="Arial"/>
          <w:color w:val="4D4D4D"/>
          <w:sz w:val="21"/>
          <w:szCs w:val="21"/>
        </w:rPr>
        <w:t xml:space="preserve">, S., </w:t>
      </w:r>
      <w:proofErr w:type="spellStart"/>
      <w:r>
        <w:rPr>
          <w:rFonts w:ascii="Arial" w:hAnsi="Arial" w:cs="Arial"/>
          <w:color w:val="4D4D4D"/>
          <w:sz w:val="21"/>
          <w:szCs w:val="21"/>
        </w:rPr>
        <w:t>Ghattas</w:t>
      </w:r>
      <w:proofErr w:type="spellEnd"/>
      <w:r>
        <w:rPr>
          <w:rFonts w:ascii="Arial" w:hAnsi="Arial" w:cs="Arial"/>
          <w:color w:val="4D4D4D"/>
          <w:sz w:val="21"/>
          <w:szCs w:val="21"/>
        </w:rPr>
        <w:t xml:space="preserve">, J., </w:t>
      </w:r>
      <w:proofErr w:type="spellStart"/>
      <w:r>
        <w:rPr>
          <w:rFonts w:ascii="Arial" w:hAnsi="Arial" w:cs="Arial"/>
          <w:color w:val="4D4D4D"/>
          <w:sz w:val="21"/>
          <w:szCs w:val="21"/>
        </w:rPr>
        <w:t>Bastrikov</w:t>
      </w:r>
      <w:proofErr w:type="spellEnd"/>
      <w:r>
        <w:rPr>
          <w:rFonts w:ascii="Arial" w:hAnsi="Arial" w:cs="Arial"/>
          <w:color w:val="4D4D4D"/>
          <w:sz w:val="21"/>
          <w:szCs w:val="21"/>
        </w:rPr>
        <w:t xml:space="preserve">, V., and </w:t>
      </w:r>
      <w:proofErr w:type="spellStart"/>
      <w:r>
        <w:rPr>
          <w:rFonts w:ascii="Arial" w:hAnsi="Arial" w:cs="Arial"/>
          <w:color w:val="4D4D4D"/>
          <w:sz w:val="21"/>
          <w:szCs w:val="21"/>
        </w:rPr>
        <w:t>Peylin</w:t>
      </w:r>
      <w:proofErr w:type="spellEnd"/>
      <w:r>
        <w:rPr>
          <w:rFonts w:ascii="Arial" w:hAnsi="Arial" w:cs="Arial"/>
          <w:color w:val="4D4D4D"/>
          <w:sz w:val="21"/>
          <w:szCs w:val="21"/>
        </w:rPr>
        <w:t xml:space="preserve">, P. 2018 Accounting for Carbon and Nitrogen interactions in the Global Terrestrial Ecosystem Model ORCHIDEE (trunk version, rev 4999): multi-scale evaluation of gross primary production, </w:t>
      </w:r>
      <w:proofErr w:type="spellStart"/>
      <w:r>
        <w:rPr>
          <w:rFonts w:ascii="Arial" w:hAnsi="Arial" w:cs="Arial"/>
          <w:color w:val="4D4D4D"/>
          <w:sz w:val="21"/>
          <w:szCs w:val="21"/>
        </w:rPr>
        <w:t>Geosci</w:t>
      </w:r>
      <w:proofErr w:type="spellEnd"/>
      <w:r>
        <w:rPr>
          <w:rFonts w:ascii="Arial" w:hAnsi="Arial" w:cs="Arial"/>
          <w:color w:val="4D4D4D"/>
          <w:sz w:val="21"/>
          <w:szCs w:val="21"/>
        </w:rPr>
        <w:t>. Model Dev. Discuss., </w:t>
      </w:r>
      <w:hyperlink r:id="rId9" w:tgtFrame="_blank" w:history="1">
        <w:r>
          <w:rPr>
            <w:rStyle w:val="Hyperlink"/>
            <w:rFonts w:ascii="Arial" w:hAnsi="Arial" w:cs="Arial"/>
            <w:color w:val="1155CC"/>
            <w:sz w:val="21"/>
            <w:szCs w:val="21"/>
          </w:rPr>
          <w:t>https://doi.org/10.5194/gmd-2018-261</w:t>
        </w:r>
      </w:hyperlink>
      <w:r>
        <w:rPr>
          <w:rFonts w:ascii="Arial" w:hAnsi="Arial" w:cs="Arial"/>
          <w:color w:val="4D4D4D"/>
          <w:sz w:val="21"/>
          <w:szCs w:val="21"/>
        </w:rPr>
        <w:t>, in review.</w:t>
      </w:r>
    </w:p>
    <w:p w:rsidR="000250F8" w:rsidRDefault="000250F8" w:rsidP="000250F8">
      <w:pPr>
        <w:pStyle w:val="NormalWeb"/>
        <w:spacing w:before="0" w:beforeAutospacing="0" w:after="225" w:afterAutospacing="0" w:line="384" w:lineRule="atLeast"/>
        <w:rPr>
          <w:rFonts w:ascii="Arial" w:hAnsi="Arial" w:cs="Arial"/>
          <w:color w:val="4D4D4D"/>
          <w:sz w:val="21"/>
          <w:szCs w:val="21"/>
        </w:rPr>
      </w:pPr>
      <w:r>
        <w:rPr>
          <w:rFonts w:ascii="Arial" w:hAnsi="Arial" w:cs="Arial"/>
          <w:color w:val="4D4D4D"/>
          <w:sz w:val="21"/>
          <w:szCs w:val="21"/>
        </w:rPr>
        <w:t xml:space="preserve">Fischer, </w:t>
      </w:r>
      <w:proofErr w:type="spellStart"/>
      <w:r>
        <w:rPr>
          <w:rFonts w:ascii="Arial" w:hAnsi="Arial" w:cs="Arial"/>
          <w:color w:val="4D4D4D"/>
          <w:sz w:val="21"/>
          <w:szCs w:val="21"/>
        </w:rPr>
        <w:t>Günther</w:t>
      </w:r>
      <w:proofErr w:type="spellEnd"/>
      <w:r>
        <w:rPr>
          <w:rFonts w:ascii="Arial" w:hAnsi="Arial" w:cs="Arial"/>
          <w:color w:val="4D4D4D"/>
          <w:sz w:val="21"/>
          <w:szCs w:val="21"/>
        </w:rPr>
        <w:t xml:space="preserve"> &amp; </w:t>
      </w:r>
      <w:proofErr w:type="spellStart"/>
      <w:r>
        <w:rPr>
          <w:rFonts w:ascii="Arial" w:hAnsi="Arial" w:cs="Arial"/>
          <w:color w:val="4D4D4D"/>
          <w:sz w:val="21"/>
          <w:szCs w:val="21"/>
        </w:rPr>
        <w:t>Nachtergaele</w:t>
      </w:r>
      <w:proofErr w:type="spellEnd"/>
      <w:r>
        <w:rPr>
          <w:rFonts w:ascii="Arial" w:hAnsi="Arial" w:cs="Arial"/>
          <w:color w:val="4D4D4D"/>
          <w:sz w:val="21"/>
          <w:szCs w:val="21"/>
        </w:rPr>
        <w:t xml:space="preserve">, F. &amp; </w:t>
      </w:r>
      <w:proofErr w:type="spellStart"/>
      <w:r>
        <w:rPr>
          <w:rFonts w:ascii="Arial" w:hAnsi="Arial" w:cs="Arial"/>
          <w:color w:val="4D4D4D"/>
          <w:sz w:val="21"/>
          <w:szCs w:val="21"/>
        </w:rPr>
        <w:t>Prieler</w:t>
      </w:r>
      <w:proofErr w:type="spellEnd"/>
      <w:r>
        <w:rPr>
          <w:rFonts w:ascii="Arial" w:hAnsi="Arial" w:cs="Arial"/>
          <w:color w:val="4D4D4D"/>
          <w:sz w:val="21"/>
          <w:szCs w:val="21"/>
        </w:rPr>
        <w:t xml:space="preserve">, Sylvia &amp; Teixeira, </w:t>
      </w:r>
      <w:proofErr w:type="spellStart"/>
      <w:r>
        <w:rPr>
          <w:rFonts w:ascii="Arial" w:hAnsi="Arial" w:cs="Arial"/>
          <w:color w:val="4D4D4D"/>
          <w:sz w:val="21"/>
          <w:szCs w:val="21"/>
        </w:rPr>
        <w:t>Edmar</w:t>
      </w:r>
      <w:proofErr w:type="spellEnd"/>
      <w:r>
        <w:rPr>
          <w:rFonts w:ascii="Arial" w:hAnsi="Arial" w:cs="Arial"/>
          <w:color w:val="4D4D4D"/>
          <w:sz w:val="21"/>
          <w:szCs w:val="21"/>
        </w:rPr>
        <w:t xml:space="preserve"> &amp; </w:t>
      </w:r>
      <w:proofErr w:type="spellStart"/>
      <w:r>
        <w:rPr>
          <w:rFonts w:ascii="Arial" w:hAnsi="Arial" w:cs="Arial"/>
          <w:color w:val="4D4D4D"/>
          <w:sz w:val="21"/>
          <w:szCs w:val="21"/>
        </w:rPr>
        <w:t>Toth</w:t>
      </w:r>
      <w:proofErr w:type="spellEnd"/>
      <w:r>
        <w:rPr>
          <w:rFonts w:ascii="Arial" w:hAnsi="Arial" w:cs="Arial"/>
          <w:color w:val="4D4D4D"/>
          <w:sz w:val="21"/>
          <w:szCs w:val="21"/>
        </w:rPr>
        <w:t xml:space="preserve">, </w:t>
      </w:r>
      <w:proofErr w:type="spellStart"/>
      <w:r>
        <w:rPr>
          <w:rFonts w:ascii="Arial" w:hAnsi="Arial" w:cs="Arial"/>
          <w:color w:val="4D4D4D"/>
          <w:sz w:val="21"/>
          <w:szCs w:val="21"/>
        </w:rPr>
        <w:t>Geza</w:t>
      </w:r>
      <w:proofErr w:type="spellEnd"/>
      <w:r>
        <w:rPr>
          <w:rFonts w:ascii="Arial" w:hAnsi="Arial" w:cs="Arial"/>
          <w:color w:val="4D4D4D"/>
          <w:sz w:val="21"/>
          <w:szCs w:val="21"/>
        </w:rPr>
        <w:t xml:space="preserve"> &amp; </w:t>
      </w:r>
      <w:proofErr w:type="spellStart"/>
      <w:r>
        <w:rPr>
          <w:rFonts w:ascii="Arial" w:hAnsi="Arial" w:cs="Arial"/>
          <w:color w:val="4D4D4D"/>
          <w:sz w:val="21"/>
          <w:szCs w:val="21"/>
        </w:rPr>
        <w:t>Velthuizen</w:t>
      </w:r>
      <w:proofErr w:type="spellEnd"/>
      <w:r>
        <w:rPr>
          <w:rFonts w:ascii="Arial" w:hAnsi="Arial" w:cs="Arial"/>
          <w:color w:val="4D4D4D"/>
          <w:sz w:val="21"/>
          <w:szCs w:val="21"/>
        </w:rPr>
        <w:t xml:space="preserve">, </w:t>
      </w:r>
      <w:proofErr w:type="spellStart"/>
      <w:r>
        <w:rPr>
          <w:rFonts w:ascii="Arial" w:hAnsi="Arial" w:cs="Arial"/>
          <w:color w:val="4D4D4D"/>
          <w:sz w:val="21"/>
          <w:szCs w:val="21"/>
        </w:rPr>
        <w:t>Harrij</w:t>
      </w:r>
      <w:proofErr w:type="spellEnd"/>
      <w:r>
        <w:rPr>
          <w:rFonts w:ascii="Arial" w:hAnsi="Arial" w:cs="Arial"/>
          <w:color w:val="4D4D4D"/>
          <w:sz w:val="21"/>
          <w:szCs w:val="21"/>
        </w:rPr>
        <w:t xml:space="preserve"> &amp; </w:t>
      </w:r>
      <w:proofErr w:type="spellStart"/>
      <w:r>
        <w:rPr>
          <w:rFonts w:ascii="Arial" w:hAnsi="Arial" w:cs="Arial"/>
          <w:color w:val="4D4D4D"/>
          <w:sz w:val="21"/>
          <w:szCs w:val="21"/>
        </w:rPr>
        <w:t>Verelst</w:t>
      </w:r>
      <w:proofErr w:type="spellEnd"/>
      <w:r>
        <w:rPr>
          <w:rFonts w:ascii="Arial" w:hAnsi="Arial" w:cs="Arial"/>
          <w:color w:val="4D4D4D"/>
          <w:sz w:val="21"/>
          <w:szCs w:val="21"/>
        </w:rPr>
        <w:t xml:space="preserve">, Luc &amp; </w:t>
      </w:r>
      <w:proofErr w:type="spellStart"/>
      <w:r>
        <w:rPr>
          <w:rFonts w:ascii="Arial" w:hAnsi="Arial" w:cs="Arial"/>
          <w:color w:val="4D4D4D"/>
          <w:sz w:val="21"/>
          <w:szCs w:val="21"/>
        </w:rPr>
        <w:t>Wiberg</w:t>
      </w:r>
      <w:proofErr w:type="spellEnd"/>
      <w:r>
        <w:rPr>
          <w:rFonts w:ascii="Arial" w:hAnsi="Arial" w:cs="Arial"/>
          <w:color w:val="4D4D4D"/>
          <w:sz w:val="21"/>
          <w:szCs w:val="21"/>
        </w:rPr>
        <w:t>, David. 2012 Global Agro</w:t>
      </w:r>
      <w:r>
        <w:rPr>
          <w:rFonts w:ascii="微軟正黑體" w:eastAsia="微軟正黑體" w:hAnsi="微軟正黑體" w:cs="微軟正黑體" w:hint="eastAsia"/>
          <w:color w:val="4D4D4D"/>
          <w:sz w:val="21"/>
          <w:szCs w:val="21"/>
        </w:rPr>
        <w:t>‐</w:t>
      </w:r>
      <w:r>
        <w:rPr>
          <w:rFonts w:ascii="Arial" w:hAnsi="Arial" w:cs="Arial"/>
          <w:color w:val="4D4D4D"/>
          <w:sz w:val="21"/>
          <w:szCs w:val="21"/>
        </w:rPr>
        <w:t>Ecological Zones (GAEZ v3.0) - Model Documentation.</w:t>
      </w:r>
    </w:p>
    <w:p w:rsidR="007F7A8A" w:rsidRPr="00D41182" w:rsidRDefault="000250F8" w:rsidP="000250F8">
      <w:pPr>
        <w:widowControl/>
        <w:rPr>
          <w:sz w:val="22"/>
        </w:rPr>
      </w:pPr>
      <w:r w:rsidRPr="00D41182">
        <w:rPr>
          <w:sz w:val="22"/>
        </w:rPr>
        <w:t xml:space="preserve"> </w:t>
      </w:r>
      <w:r w:rsidR="007F7A8A" w:rsidRPr="00D41182">
        <w:rPr>
          <w:sz w:val="22"/>
        </w:rPr>
        <w:br w:type="page"/>
      </w:r>
    </w:p>
    <w:p w:rsidR="007F7A8A" w:rsidRPr="00D41182" w:rsidRDefault="007F7A8A" w:rsidP="007F7A8A">
      <w:pPr>
        <w:rPr>
          <w:sz w:val="22"/>
        </w:rPr>
      </w:pPr>
      <w:r w:rsidRPr="00D41182">
        <w:rPr>
          <w:noProof/>
          <w:sz w:val="22"/>
        </w:rPr>
        <w:lastRenderedPageBreak/>
        <w:drawing>
          <wp:inline distT="0" distB="0" distL="0" distR="0" wp14:anchorId="09BB3A05" wp14:editId="66A25D53">
            <wp:extent cx="5274310" cy="2179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79320"/>
                    </a:xfrm>
                    <a:prstGeom prst="rect">
                      <a:avLst/>
                    </a:prstGeom>
                  </pic:spPr>
                </pic:pic>
              </a:graphicData>
            </a:graphic>
          </wp:inline>
        </w:drawing>
      </w:r>
      <w:r w:rsidRPr="00D41182">
        <w:rPr>
          <w:rFonts w:hint="eastAsia"/>
          <w:sz w:val="22"/>
        </w:rPr>
        <w:t>遊戲規則</w:t>
      </w:r>
    </w:p>
    <w:p w:rsidR="007F7A8A" w:rsidRPr="00D41182" w:rsidRDefault="007F7A8A" w:rsidP="007F7A8A">
      <w:pPr>
        <w:rPr>
          <w:sz w:val="22"/>
        </w:rPr>
      </w:pPr>
    </w:p>
    <w:p w:rsidR="007F7A8A" w:rsidRPr="00D41182" w:rsidRDefault="007F7A8A" w:rsidP="007F7A8A">
      <w:pPr>
        <w:rPr>
          <w:b/>
          <w:bCs/>
          <w:sz w:val="22"/>
        </w:rPr>
      </w:pPr>
      <w:r w:rsidRPr="00D41182">
        <w:rPr>
          <w:b/>
          <w:bCs/>
          <w:sz w:val="22"/>
        </w:rPr>
        <w:t>THE CHALLENGE</w:t>
      </w:r>
    </w:p>
    <w:p w:rsidR="007F7A8A" w:rsidRPr="00D41182" w:rsidRDefault="007F7A8A" w:rsidP="007F7A8A">
      <w:pPr>
        <w:rPr>
          <w:sz w:val="22"/>
          <w:u w:val="single"/>
        </w:rPr>
      </w:pPr>
      <w:r w:rsidRPr="00D41182">
        <w:rPr>
          <w:sz w:val="22"/>
        </w:rPr>
        <w:t xml:space="preserve">Your challenge is to </w:t>
      </w:r>
      <w:r w:rsidRPr="00D41182">
        <w:rPr>
          <w:sz w:val="22"/>
          <w:u w:val="single"/>
        </w:rPr>
        <w:t>develop creative solutions that use Earth observations to address the United Nations’ Sustainable Development Goals and foster sustainable development worldwide</w:t>
      </w:r>
      <w:r w:rsidRPr="00D41182">
        <w:rPr>
          <w:sz w:val="22"/>
        </w:rPr>
        <w:t xml:space="preserve">. </w:t>
      </w:r>
      <w:r w:rsidRPr="00D41182">
        <w:rPr>
          <w:color w:val="FF0000"/>
          <w:sz w:val="22"/>
        </w:rPr>
        <w:t xml:space="preserve">Use NASA and other Earth observing satellites’ data as well as information generated </w:t>
      </w:r>
      <w:r w:rsidRPr="00D41182">
        <w:rPr>
          <w:color w:val="FF0000"/>
          <w:sz w:val="22"/>
          <w:u w:val="single"/>
        </w:rPr>
        <w:t xml:space="preserve">by crowd-sourcing and in-situ measurements </w:t>
      </w:r>
      <w:r w:rsidRPr="00D41182">
        <w:rPr>
          <w:color w:val="FF0000"/>
          <w:sz w:val="22"/>
        </w:rPr>
        <w:t xml:space="preserve">to create </w:t>
      </w:r>
      <w:r w:rsidRPr="00D41182">
        <w:rPr>
          <w:color w:val="FF0000"/>
          <w:sz w:val="22"/>
          <w:u w:val="single"/>
        </w:rPr>
        <w:t>practical applications that support environmental and societal policy across water, health, food security and/or land use domains.</w:t>
      </w:r>
    </w:p>
    <w:p w:rsidR="007F7A8A" w:rsidRPr="00D41182" w:rsidRDefault="007F7A8A" w:rsidP="007F7A8A">
      <w:pPr>
        <w:rPr>
          <w:b/>
          <w:bCs/>
          <w:sz w:val="22"/>
        </w:rPr>
      </w:pPr>
    </w:p>
    <w:p w:rsidR="007F7A8A" w:rsidRPr="00D41182" w:rsidRDefault="007F7A8A" w:rsidP="007F7A8A">
      <w:pPr>
        <w:rPr>
          <w:b/>
          <w:bCs/>
          <w:sz w:val="22"/>
        </w:rPr>
      </w:pPr>
      <w:r w:rsidRPr="00D41182">
        <w:rPr>
          <w:b/>
          <w:bCs/>
          <w:sz w:val="22"/>
        </w:rPr>
        <w:t>Background</w:t>
      </w:r>
    </w:p>
    <w:p w:rsidR="007F7A8A" w:rsidRPr="00D41182" w:rsidRDefault="007F7A8A" w:rsidP="007F7A8A">
      <w:pPr>
        <w:rPr>
          <w:sz w:val="22"/>
        </w:rPr>
      </w:pPr>
      <w:r w:rsidRPr="00D41182">
        <w:rPr>
          <w:sz w:val="22"/>
        </w:rPr>
        <w:t>In September 2015, world leaders worked together to adopt a universal agenda for all countries and stakeholders to use as a blueprint for progress on economic, social and environmental sustainability. The 2030 Agenda for Sustainable Development is comprised of 17 Sustainable Development Goals (SDG), 169 Targets, and a Global Indicator Framework, providing countries a management tool to implement development strategies and to monitor and achieve progress.</w:t>
      </w:r>
    </w:p>
    <w:p w:rsidR="007F7A8A" w:rsidRPr="00D41182" w:rsidRDefault="007F7A8A" w:rsidP="007F7A8A">
      <w:pPr>
        <w:rPr>
          <w:sz w:val="22"/>
        </w:rPr>
      </w:pPr>
      <w:r w:rsidRPr="00D41182">
        <w:rPr>
          <w:sz w:val="22"/>
        </w:rPr>
        <w:t>Earth observations and geospatial information are uniquely suited to being integrated into national information systems and monitoring frameworks to: support the generation of high-quality and timely information; address data gaps; and contribute to the disaggregation of SDG indicators.</w:t>
      </w:r>
    </w:p>
    <w:p w:rsidR="007F7A8A" w:rsidRPr="00D41182" w:rsidRDefault="007F7A8A" w:rsidP="007F7A8A">
      <w:pPr>
        <w:rPr>
          <w:sz w:val="22"/>
        </w:rPr>
      </w:pPr>
      <w:r w:rsidRPr="00D41182">
        <w:rPr>
          <w:sz w:val="22"/>
        </w:rPr>
        <w:t xml:space="preserve">You are invited to join global champions in improving world health and education, reducing inequality, and spurring economic growth – all while tackling climate change and working to preserve our oceans and forests. </w:t>
      </w:r>
      <w:r w:rsidRPr="00D41182">
        <w:rPr>
          <w:b/>
          <w:sz w:val="22"/>
        </w:rPr>
        <w:t xml:space="preserve">Your task is to inform the general public and support local managers and public agencies (national statistical offices, ministries, national mapping agencies) by using Earth observations for the tracking, monitoring, and reporting on progress on SDG targets and indicators, with an emphasis on: SDG 3 (Health and Well-Being), SDG 6 (Clean Water and Sanitation), SDG 11 (Sustainable Cities and Communities), </w:t>
      </w:r>
      <w:r w:rsidRPr="00D41182">
        <w:rPr>
          <w:b/>
          <w:sz w:val="22"/>
        </w:rPr>
        <w:lastRenderedPageBreak/>
        <w:t xml:space="preserve">SDG 14 (Life Below Water), and </w:t>
      </w:r>
      <w:r w:rsidRPr="00D41182">
        <w:rPr>
          <w:b/>
          <w:color w:val="FF0000"/>
          <w:sz w:val="22"/>
        </w:rPr>
        <w:t>SDG 15 (Life on Land).</w:t>
      </w:r>
    </w:p>
    <w:p w:rsidR="007F7A8A" w:rsidRPr="00D41182" w:rsidRDefault="007F7A8A" w:rsidP="007F7A8A">
      <w:pPr>
        <w:rPr>
          <w:sz w:val="22"/>
        </w:rPr>
      </w:pPr>
      <w:r w:rsidRPr="00D41182">
        <w:rPr>
          <w:sz w:val="22"/>
        </w:rPr>
        <w:t>The power to change the world and make it a better place is now in your hands!</w:t>
      </w:r>
    </w:p>
    <w:p w:rsidR="007F7A8A" w:rsidRPr="00D41182" w:rsidRDefault="007F7A8A" w:rsidP="007F7A8A">
      <w:pPr>
        <w:rPr>
          <w:sz w:val="22"/>
        </w:rPr>
      </w:pPr>
      <w:r w:rsidRPr="00D41182">
        <w:rPr>
          <w:sz w:val="22"/>
        </w:rPr>
        <w:t>Areas of particular interest include:</w:t>
      </w:r>
    </w:p>
    <w:p w:rsidR="007F7A8A" w:rsidRPr="00D41182" w:rsidRDefault="007F7A8A" w:rsidP="007F7A8A">
      <w:pPr>
        <w:numPr>
          <w:ilvl w:val="0"/>
          <w:numId w:val="1"/>
        </w:numPr>
        <w:rPr>
          <w:sz w:val="22"/>
        </w:rPr>
      </w:pPr>
      <w:r w:rsidRPr="00D41182">
        <w:rPr>
          <w:sz w:val="22"/>
        </w:rPr>
        <w:t>Earth observation solutions to address SDG interlinkages and trade-offs, e.g., linking land use/land cover change or management to freshwater and coastal pollution, and addressing multiple SDG targets through one solution.</w:t>
      </w:r>
    </w:p>
    <w:p w:rsidR="007F7A8A" w:rsidRPr="00D41182" w:rsidRDefault="007F7A8A" w:rsidP="007F7A8A">
      <w:pPr>
        <w:numPr>
          <w:ilvl w:val="0"/>
          <w:numId w:val="1"/>
        </w:numPr>
        <w:rPr>
          <w:sz w:val="22"/>
        </w:rPr>
      </w:pPr>
      <w:r w:rsidRPr="00D41182">
        <w:rPr>
          <w:sz w:val="22"/>
        </w:rPr>
        <w:t>Solutions to identify, monitor, and address or improve environmental factors affecting human health.</w:t>
      </w:r>
    </w:p>
    <w:p w:rsidR="007F7A8A" w:rsidRPr="00D41182" w:rsidRDefault="007F7A8A" w:rsidP="007F7A8A">
      <w:pPr>
        <w:numPr>
          <w:ilvl w:val="0"/>
          <w:numId w:val="1"/>
        </w:numPr>
        <w:rPr>
          <w:sz w:val="22"/>
        </w:rPr>
      </w:pPr>
      <w:r w:rsidRPr="00D41182">
        <w:rPr>
          <w:sz w:val="22"/>
        </w:rPr>
        <w:t>Solutions to map and analyze urban population patterns including the proportion of urban population living in informal settlements or inadequate housing.</w:t>
      </w:r>
    </w:p>
    <w:p w:rsidR="007F7A8A" w:rsidRPr="00D41182" w:rsidRDefault="007F7A8A" w:rsidP="007F7A8A">
      <w:pPr>
        <w:numPr>
          <w:ilvl w:val="0"/>
          <w:numId w:val="1"/>
        </w:numPr>
        <w:rPr>
          <w:sz w:val="22"/>
        </w:rPr>
      </w:pPr>
      <w:r w:rsidRPr="00D41182">
        <w:rPr>
          <w:sz w:val="22"/>
        </w:rPr>
        <w:t>Visualizations or interactive applications to showcase the interconnectedness of SDGs in people’s lives via the use of NASA Earth observation data as well as information generated by crowd-sourcing, social media, and in situ measurements.</w:t>
      </w:r>
    </w:p>
    <w:p w:rsidR="007F7A8A" w:rsidRPr="00D41182" w:rsidRDefault="007F7A8A" w:rsidP="007F7A8A">
      <w:pPr>
        <w:rPr>
          <w:b/>
          <w:bCs/>
          <w:sz w:val="22"/>
        </w:rPr>
      </w:pPr>
      <w:r w:rsidRPr="00D41182">
        <w:rPr>
          <w:b/>
          <w:bCs/>
          <w:sz w:val="22"/>
        </w:rPr>
        <w:t>Potential Considerations</w:t>
      </w:r>
    </w:p>
    <w:p w:rsidR="007F7A8A" w:rsidRPr="00D41182" w:rsidRDefault="007F7A8A" w:rsidP="007F7A8A">
      <w:pPr>
        <w:rPr>
          <w:sz w:val="22"/>
        </w:rPr>
      </w:pPr>
      <w:r w:rsidRPr="00D41182">
        <w:rPr>
          <w:sz w:val="22"/>
        </w:rPr>
        <w:t>Some examples of potential solutions include (but are not limited to!):</w:t>
      </w:r>
    </w:p>
    <w:p w:rsidR="007F7A8A" w:rsidRPr="00D41182" w:rsidRDefault="007F7A8A" w:rsidP="007F7A8A">
      <w:pPr>
        <w:numPr>
          <w:ilvl w:val="0"/>
          <w:numId w:val="2"/>
        </w:numPr>
        <w:rPr>
          <w:sz w:val="22"/>
        </w:rPr>
      </w:pPr>
      <w:r w:rsidRPr="00D41182">
        <w:rPr>
          <w:sz w:val="22"/>
        </w:rPr>
        <w:t>A decision support tool that helps monitor disease patterns, identify environmental factors that contribute to the spread of diseases, such as vector-borne diseases, and specify areas requiring disease-control planning.</w:t>
      </w:r>
    </w:p>
    <w:p w:rsidR="007F7A8A" w:rsidRPr="00D41182" w:rsidRDefault="007F7A8A" w:rsidP="007F7A8A">
      <w:pPr>
        <w:numPr>
          <w:ilvl w:val="0"/>
          <w:numId w:val="2"/>
        </w:numPr>
        <w:rPr>
          <w:sz w:val="22"/>
        </w:rPr>
      </w:pPr>
      <w:r w:rsidRPr="00D41182">
        <w:rPr>
          <w:sz w:val="22"/>
        </w:rPr>
        <w:t>A user-friendly product that integrates national and global level data including in situ observations from regular monitoring stations for coastal eutrophication/pollution.</w:t>
      </w:r>
    </w:p>
    <w:p w:rsidR="007F7A8A" w:rsidRPr="00D41182" w:rsidRDefault="007F7A8A" w:rsidP="007F7A8A">
      <w:pPr>
        <w:numPr>
          <w:ilvl w:val="0"/>
          <w:numId w:val="2"/>
        </w:numPr>
        <w:rPr>
          <w:sz w:val="22"/>
        </w:rPr>
      </w:pPr>
      <w:r w:rsidRPr="00D41182">
        <w:rPr>
          <w:sz w:val="22"/>
        </w:rPr>
        <w:t>An interactive application and/or data visualization tool that tracks and visualizes how marine litter/garbage circulates (and is transported) around the world – its origins and/or factors that influence its movement (e.g. ocean currents, other).</w:t>
      </w:r>
    </w:p>
    <w:p w:rsidR="007F7A8A" w:rsidRPr="00D41182" w:rsidRDefault="007F7A8A" w:rsidP="007F7A8A">
      <w:pPr>
        <w:numPr>
          <w:ilvl w:val="0"/>
          <w:numId w:val="2"/>
        </w:numPr>
        <w:rPr>
          <w:color w:val="FF0000"/>
          <w:sz w:val="22"/>
        </w:rPr>
      </w:pPr>
      <w:r w:rsidRPr="00D41182">
        <w:rPr>
          <w:color w:val="FF0000"/>
          <w:sz w:val="22"/>
        </w:rPr>
        <w:t>An analysis and visualization tool that demonstrates how Earth observations can help assess SDG interlinkages and tradeoffs, especially as they relate to the sustainable use of natural resources.</w:t>
      </w:r>
    </w:p>
    <w:p w:rsidR="007F7A8A" w:rsidRPr="00D41182" w:rsidRDefault="007F7A8A" w:rsidP="007F7A8A">
      <w:pPr>
        <w:rPr>
          <w:b/>
          <w:color w:val="FF0000"/>
          <w:sz w:val="22"/>
        </w:rPr>
      </w:pPr>
      <w:r w:rsidRPr="00D41182">
        <w:rPr>
          <w:b/>
          <w:color w:val="FF0000"/>
          <w:sz w:val="22"/>
        </w:rPr>
        <w:t>PLEASE BE SURE TO SPECIFY the SDG(s)/Target(s)/Indicator(s) your solution is aiming to address.</w:t>
      </w:r>
    </w:p>
    <w:p w:rsidR="007F7A8A" w:rsidRPr="00D41182" w:rsidRDefault="007F7A8A" w:rsidP="007F7A8A">
      <w:pPr>
        <w:rPr>
          <w:sz w:val="22"/>
        </w:rPr>
      </w:pPr>
      <w:r w:rsidRPr="00D41182">
        <w:rPr>
          <w:sz w:val="22"/>
        </w:rPr>
        <w:t>The most compelling solutions to this challenge will clearly manifest benefits for user communities – local and national authorities responsible for SDG monitoring and reporting, UN agencies, other major groups and stakeholders – by helping them use Earth observations to address specific SDG targets and indicators on a local, national or global scale.</w:t>
      </w:r>
    </w:p>
    <w:p w:rsidR="007F7A8A" w:rsidRPr="00D41182" w:rsidRDefault="007F7A8A" w:rsidP="007F7A8A">
      <w:pPr>
        <w:widowControl/>
        <w:rPr>
          <w:sz w:val="22"/>
        </w:rPr>
      </w:pPr>
      <w:r w:rsidRPr="00D41182">
        <w:rPr>
          <w:sz w:val="22"/>
        </w:rPr>
        <w:br w:type="page"/>
      </w:r>
    </w:p>
    <w:p w:rsidR="007F7A8A" w:rsidRPr="00764A9E" w:rsidRDefault="007F7A8A" w:rsidP="007F7A8A">
      <w:pPr>
        <w:widowControl/>
        <w:shd w:val="clear" w:color="auto" w:fill="EFEFEF"/>
        <w:spacing w:after="300"/>
        <w:outlineLvl w:val="3"/>
        <w:rPr>
          <w:rFonts w:ascii="Titillium Web" w:eastAsia="新細明體" w:hAnsi="Titillium Web" w:cs="Helvetica"/>
          <w:b/>
          <w:bCs/>
          <w:caps/>
          <w:color w:val="4D4D4D"/>
          <w:kern w:val="0"/>
          <w:sz w:val="22"/>
        </w:rPr>
      </w:pPr>
      <w:r w:rsidRPr="00764A9E">
        <w:rPr>
          <w:rFonts w:ascii="Titillium Web" w:eastAsia="新細明體" w:hAnsi="Titillium Web" w:cs="Helvetica"/>
          <w:b/>
          <w:bCs/>
          <w:caps/>
          <w:color w:val="4D4D4D"/>
          <w:kern w:val="0"/>
          <w:sz w:val="22"/>
        </w:rPr>
        <w:lastRenderedPageBreak/>
        <w:t>挑戰</w:t>
      </w:r>
    </w:p>
    <w:p w:rsidR="007F7A8A" w:rsidRPr="00764A9E" w:rsidRDefault="007F7A8A" w:rsidP="007F7A8A">
      <w:pPr>
        <w:widowControl/>
        <w:shd w:val="clear" w:color="auto" w:fill="EFEFEF"/>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您面臨的挑戰是開發利用地球觀測來解決聯合國的可持續發展目標並促進全球可持續發展的創造性解決方案。使用</w:t>
      </w:r>
      <w:r w:rsidRPr="00764A9E">
        <w:rPr>
          <w:rFonts w:ascii="Helvetica" w:eastAsia="新細明體" w:hAnsi="Helvetica" w:cs="Helvetica"/>
          <w:color w:val="4D4D4D"/>
          <w:kern w:val="0"/>
          <w:sz w:val="22"/>
        </w:rPr>
        <w:t>NASA</w:t>
      </w:r>
      <w:r w:rsidRPr="00764A9E">
        <w:rPr>
          <w:rFonts w:ascii="Helvetica" w:eastAsia="新細明體" w:hAnsi="Helvetica" w:cs="Helvetica"/>
          <w:color w:val="4D4D4D"/>
          <w:kern w:val="0"/>
          <w:sz w:val="22"/>
        </w:rPr>
        <w:t>和其他地球觀測衛星的數據以及通過眾包和現場測量生成的信息來創建實際應用，以支持在水，健康，食品安全和</w:t>
      </w:r>
      <w:r w:rsidRPr="00764A9E">
        <w:rPr>
          <w:rFonts w:ascii="Helvetica" w:eastAsia="新細明體" w:hAnsi="Helvetica" w:cs="Helvetica"/>
          <w:color w:val="4D4D4D"/>
          <w:kern w:val="0"/>
          <w:sz w:val="22"/>
        </w:rPr>
        <w:t>/</w:t>
      </w:r>
      <w:r w:rsidRPr="00764A9E">
        <w:rPr>
          <w:rFonts w:ascii="Helvetica" w:eastAsia="新細明體" w:hAnsi="Helvetica" w:cs="Helvetica"/>
          <w:color w:val="4D4D4D"/>
          <w:kern w:val="0"/>
          <w:sz w:val="22"/>
        </w:rPr>
        <w:t>或土地使用領域的環境和社會政策。</w:t>
      </w:r>
    </w:p>
    <w:p w:rsidR="007F7A8A" w:rsidRPr="00764A9E" w:rsidRDefault="007F7A8A" w:rsidP="007F7A8A">
      <w:pPr>
        <w:widowControl/>
        <w:spacing w:before="100" w:beforeAutospacing="1" w:after="100" w:afterAutospacing="1"/>
        <w:outlineLvl w:val="2"/>
        <w:rPr>
          <w:rFonts w:ascii="Helvetica" w:eastAsia="新細明體" w:hAnsi="Helvetica" w:cs="Helvetica"/>
          <w:b/>
          <w:bCs/>
          <w:color w:val="4D4D4D"/>
          <w:kern w:val="0"/>
          <w:sz w:val="22"/>
        </w:rPr>
      </w:pPr>
      <w:r w:rsidRPr="00764A9E">
        <w:rPr>
          <w:rFonts w:ascii="Helvetica" w:eastAsia="新細明體" w:hAnsi="Helvetica" w:cs="Helvetica"/>
          <w:b/>
          <w:bCs/>
          <w:color w:val="4D4D4D"/>
          <w:kern w:val="0"/>
          <w:sz w:val="22"/>
        </w:rPr>
        <w:t>背景</w:t>
      </w:r>
    </w:p>
    <w:p w:rsidR="007F7A8A" w:rsidRPr="00764A9E" w:rsidRDefault="007F7A8A" w:rsidP="007F7A8A">
      <w:pPr>
        <w:widowControl/>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2015</w:t>
      </w:r>
      <w:r w:rsidRPr="00764A9E">
        <w:rPr>
          <w:rFonts w:ascii="Helvetica" w:eastAsia="新細明體" w:hAnsi="Helvetica" w:cs="Helvetica"/>
          <w:color w:val="4D4D4D"/>
          <w:kern w:val="0"/>
          <w:sz w:val="22"/>
        </w:rPr>
        <w:t>年</w:t>
      </w:r>
      <w:r w:rsidRPr="00764A9E">
        <w:rPr>
          <w:rFonts w:ascii="Helvetica" w:eastAsia="新細明體" w:hAnsi="Helvetica" w:cs="Helvetica"/>
          <w:color w:val="4D4D4D"/>
          <w:kern w:val="0"/>
          <w:sz w:val="22"/>
        </w:rPr>
        <w:t>9</w:t>
      </w:r>
      <w:r w:rsidRPr="00764A9E">
        <w:rPr>
          <w:rFonts w:ascii="Helvetica" w:eastAsia="新細明體" w:hAnsi="Helvetica" w:cs="Helvetica"/>
          <w:color w:val="4D4D4D"/>
          <w:kern w:val="0"/>
          <w:sz w:val="22"/>
        </w:rPr>
        <w:t>月，世界各國領導人共同努力，通過了一項全球議程，供所有國家和利益攸關方用作經濟，社會和環境可持續性發展的藍圖。《</w:t>
      </w:r>
      <w:r w:rsidRPr="00764A9E">
        <w:rPr>
          <w:rFonts w:ascii="Helvetica" w:eastAsia="新細明體" w:hAnsi="Helvetica" w:cs="Helvetica"/>
          <w:color w:val="4D4D4D"/>
          <w:kern w:val="0"/>
          <w:sz w:val="22"/>
        </w:rPr>
        <w:t xml:space="preserve"> 2030</w:t>
      </w:r>
      <w:r w:rsidRPr="00764A9E">
        <w:rPr>
          <w:rFonts w:ascii="Helvetica" w:eastAsia="新細明體" w:hAnsi="Helvetica" w:cs="Helvetica"/>
          <w:color w:val="4D4D4D"/>
          <w:kern w:val="0"/>
          <w:sz w:val="22"/>
        </w:rPr>
        <w:t>年可持續發展議程》由</w:t>
      </w:r>
      <w:r w:rsidRPr="00764A9E">
        <w:rPr>
          <w:rFonts w:ascii="Helvetica" w:eastAsia="新細明體" w:hAnsi="Helvetica" w:cs="Helvetica"/>
          <w:color w:val="4D4D4D"/>
          <w:kern w:val="0"/>
          <w:sz w:val="22"/>
        </w:rPr>
        <w:t>17</w:t>
      </w:r>
      <w:r w:rsidRPr="00764A9E">
        <w:rPr>
          <w:rFonts w:ascii="Helvetica" w:eastAsia="新細明體" w:hAnsi="Helvetica" w:cs="Helvetica"/>
          <w:color w:val="4D4D4D"/>
          <w:kern w:val="0"/>
          <w:sz w:val="22"/>
        </w:rPr>
        <w:t>個可持續發展目標（</w:t>
      </w:r>
      <w:r w:rsidRPr="00764A9E">
        <w:rPr>
          <w:rFonts w:ascii="Helvetica" w:eastAsia="新細明體" w:hAnsi="Helvetica" w:cs="Helvetica"/>
          <w:color w:val="4D4D4D"/>
          <w:kern w:val="0"/>
          <w:sz w:val="22"/>
        </w:rPr>
        <w:t>SDG</w:t>
      </w:r>
      <w:r w:rsidRPr="00764A9E">
        <w:rPr>
          <w:rFonts w:ascii="Helvetica" w:eastAsia="新細明體" w:hAnsi="Helvetica" w:cs="Helvetica"/>
          <w:color w:val="4D4D4D"/>
          <w:kern w:val="0"/>
          <w:sz w:val="22"/>
        </w:rPr>
        <w:t>），</w:t>
      </w:r>
      <w:r w:rsidRPr="00764A9E">
        <w:rPr>
          <w:rFonts w:ascii="Helvetica" w:eastAsia="新細明體" w:hAnsi="Helvetica" w:cs="Helvetica"/>
          <w:color w:val="4D4D4D"/>
          <w:kern w:val="0"/>
          <w:sz w:val="22"/>
        </w:rPr>
        <w:t>169</w:t>
      </w:r>
      <w:r w:rsidRPr="00764A9E">
        <w:rPr>
          <w:rFonts w:ascii="Helvetica" w:eastAsia="新細明體" w:hAnsi="Helvetica" w:cs="Helvetica"/>
          <w:color w:val="4D4D4D"/>
          <w:kern w:val="0"/>
          <w:sz w:val="22"/>
        </w:rPr>
        <w:t>個目標和一個全球指標框架組成，為各國提供了實施發展戰略，監測和取得進展的管理工具。</w:t>
      </w:r>
    </w:p>
    <w:p w:rsidR="007F7A8A" w:rsidRPr="00764A9E" w:rsidRDefault="007F7A8A" w:rsidP="007F7A8A">
      <w:pPr>
        <w:widowControl/>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地球觀測和地理空間信息非常適合集成到國家信息系統和監視框架中，以：支持生成高質量，及時的信息；解決數據缺口；並有助於對</w:t>
      </w:r>
      <w:r w:rsidRPr="00764A9E">
        <w:rPr>
          <w:rFonts w:ascii="Helvetica" w:eastAsia="新細明體" w:hAnsi="Helvetica" w:cs="Helvetica"/>
          <w:color w:val="4D4D4D"/>
          <w:kern w:val="0"/>
          <w:sz w:val="22"/>
        </w:rPr>
        <w:t>SDG</w:t>
      </w:r>
      <w:r w:rsidRPr="00764A9E">
        <w:rPr>
          <w:rFonts w:ascii="Helvetica" w:eastAsia="新細明體" w:hAnsi="Helvetica" w:cs="Helvetica"/>
          <w:color w:val="4D4D4D"/>
          <w:kern w:val="0"/>
          <w:sz w:val="22"/>
        </w:rPr>
        <w:t>指標進行分類。</w:t>
      </w:r>
    </w:p>
    <w:p w:rsidR="007F7A8A" w:rsidRPr="00764A9E" w:rsidRDefault="007F7A8A" w:rsidP="007F7A8A">
      <w:pPr>
        <w:widowControl/>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邀請您加入全球倡導者的行列，以改善世界衛生和教育，減少不平等現象並促進經濟增長，同時應對氣候變化並努力保護我們的海洋和森林。您的任務是通過使用地球觀測來跟踪，監視和報告可持續發展目標和指標的進展情況，從而向公眾提供信息並支持地方管理人員和公共機構（國家統計局，政府部門，國家製圖機構），重點是：</w:t>
      </w:r>
      <w:r w:rsidRPr="00764A9E">
        <w:rPr>
          <w:rFonts w:ascii="Helvetica" w:eastAsia="新細明體" w:hAnsi="Helvetica" w:cs="Helvetica"/>
          <w:color w:val="4D4D4D"/>
          <w:kern w:val="0"/>
          <w:sz w:val="22"/>
        </w:rPr>
        <w:t>SDG 3</w:t>
      </w:r>
      <w:r w:rsidRPr="00764A9E">
        <w:rPr>
          <w:rFonts w:ascii="Helvetica" w:eastAsia="新細明體" w:hAnsi="Helvetica" w:cs="Helvetica"/>
          <w:color w:val="4D4D4D"/>
          <w:kern w:val="0"/>
          <w:sz w:val="22"/>
        </w:rPr>
        <w:t>（健康與福祉），</w:t>
      </w:r>
      <w:r w:rsidRPr="00764A9E">
        <w:rPr>
          <w:rFonts w:ascii="Helvetica" w:eastAsia="新細明體" w:hAnsi="Helvetica" w:cs="Helvetica"/>
          <w:color w:val="4D4D4D"/>
          <w:kern w:val="0"/>
          <w:sz w:val="22"/>
        </w:rPr>
        <w:t>SDG 6</w:t>
      </w:r>
      <w:r w:rsidRPr="00764A9E">
        <w:rPr>
          <w:rFonts w:ascii="Helvetica" w:eastAsia="新細明體" w:hAnsi="Helvetica" w:cs="Helvetica"/>
          <w:color w:val="4D4D4D"/>
          <w:kern w:val="0"/>
          <w:sz w:val="22"/>
        </w:rPr>
        <w:t>（淨水與衛生設施），</w:t>
      </w:r>
      <w:r w:rsidRPr="00764A9E">
        <w:rPr>
          <w:rFonts w:ascii="Helvetica" w:eastAsia="新細明體" w:hAnsi="Helvetica" w:cs="Helvetica"/>
          <w:color w:val="4D4D4D"/>
          <w:kern w:val="0"/>
          <w:sz w:val="22"/>
        </w:rPr>
        <w:t>SDG 11</w:t>
      </w:r>
      <w:r w:rsidRPr="00764A9E">
        <w:rPr>
          <w:rFonts w:ascii="Helvetica" w:eastAsia="新細明體" w:hAnsi="Helvetica" w:cs="Helvetica"/>
          <w:color w:val="4D4D4D"/>
          <w:kern w:val="0"/>
          <w:sz w:val="22"/>
        </w:rPr>
        <w:t>（可持續城市與社區），</w:t>
      </w:r>
      <w:r w:rsidRPr="00764A9E">
        <w:rPr>
          <w:rFonts w:ascii="Helvetica" w:eastAsia="新細明體" w:hAnsi="Helvetica" w:cs="Helvetica"/>
          <w:color w:val="4D4D4D"/>
          <w:kern w:val="0"/>
          <w:sz w:val="22"/>
        </w:rPr>
        <w:t>SDG 14</w:t>
      </w:r>
      <w:r w:rsidRPr="00764A9E">
        <w:rPr>
          <w:rFonts w:ascii="Helvetica" w:eastAsia="新細明體" w:hAnsi="Helvetica" w:cs="Helvetica"/>
          <w:color w:val="4D4D4D"/>
          <w:kern w:val="0"/>
          <w:sz w:val="22"/>
        </w:rPr>
        <w:t>（水下生活）和</w:t>
      </w:r>
      <w:r w:rsidRPr="00764A9E">
        <w:rPr>
          <w:rFonts w:ascii="Helvetica" w:eastAsia="新細明體" w:hAnsi="Helvetica" w:cs="Helvetica"/>
          <w:color w:val="4D4D4D"/>
          <w:kern w:val="0"/>
          <w:sz w:val="22"/>
        </w:rPr>
        <w:t>SDG 15</w:t>
      </w:r>
      <w:r w:rsidRPr="00764A9E">
        <w:rPr>
          <w:rFonts w:ascii="Helvetica" w:eastAsia="新細明體" w:hAnsi="Helvetica" w:cs="Helvetica"/>
          <w:color w:val="4D4D4D"/>
          <w:kern w:val="0"/>
          <w:sz w:val="22"/>
        </w:rPr>
        <w:t>（陸上生活）。</w:t>
      </w:r>
    </w:p>
    <w:p w:rsidR="007F7A8A" w:rsidRPr="00764A9E" w:rsidRDefault="007F7A8A" w:rsidP="007F7A8A">
      <w:pPr>
        <w:widowControl/>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現在，改變世界並使其變得更美好的力量就在您手中！</w:t>
      </w:r>
    </w:p>
    <w:p w:rsidR="007F7A8A" w:rsidRPr="00764A9E" w:rsidRDefault="007F7A8A" w:rsidP="007F7A8A">
      <w:pPr>
        <w:widowControl/>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特別感興趣的領域包括：</w:t>
      </w:r>
    </w:p>
    <w:p w:rsidR="007F7A8A" w:rsidRPr="00764A9E" w:rsidRDefault="007F7A8A" w:rsidP="007F7A8A">
      <w:pPr>
        <w:widowControl/>
        <w:numPr>
          <w:ilvl w:val="0"/>
          <w:numId w:val="3"/>
        </w:numPr>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地球觀測解決方案，以解決</w:t>
      </w:r>
      <w:r w:rsidRPr="00764A9E">
        <w:rPr>
          <w:rFonts w:ascii="Helvetica" w:eastAsia="新細明體" w:hAnsi="Helvetica" w:cs="Helvetica"/>
          <w:color w:val="4D4D4D"/>
          <w:kern w:val="0"/>
          <w:sz w:val="22"/>
        </w:rPr>
        <w:t>SDG</w:t>
      </w:r>
      <w:r w:rsidRPr="00764A9E">
        <w:rPr>
          <w:rFonts w:ascii="Helvetica" w:eastAsia="新細明體" w:hAnsi="Helvetica" w:cs="Helvetica"/>
          <w:color w:val="4D4D4D"/>
          <w:kern w:val="0"/>
          <w:sz w:val="22"/>
        </w:rPr>
        <w:t>的相互聯繫和取捨，例如，將土地利用</w:t>
      </w:r>
      <w:r w:rsidRPr="00764A9E">
        <w:rPr>
          <w:rFonts w:ascii="Helvetica" w:eastAsia="新細明體" w:hAnsi="Helvetica" w:cs="Helvetica"/>
          <w:color w:val="4D4D4D"/>
          <w:kern w:val="0"/>
          <w:sz w:val="22"/>
        </w:rPr>
        <w:t>/</w:t>
      </w:r>
      <w:r w:rsidRPr="00764A9E">
        <w:rPr>
          <w:rFonts w:ascii="Helvetica" w:eastAsia="新細明體" w:hAnsi="Helvetica" w:cs="Helvetica"/>
          <w:color w:val="4D4D4D"/>
          <w:kern w:val="0"/>
          <w:sz w:val="22"/>
        </w:rPr>
        <w:t>土地覆蓋的變化或管理與淡水和沿海污染聯繫起來，並通過一種解決方案解決多個</w:t>
      </w:r>
      <w:r w:rsidRPr="00764A9E">
        <w:rPr>
          <w:rFonts w:ascii="Helvetica" w:eastAsia="新細明體" w:hAnsi="Helvetica" w:cs="Helvetica"/>
          <w:color w:val="4D4D4D"/>
          <w:kern w:val="0"/>
          <w:sz w:val="22"/>
        </w:rPr>
        <w:t>SDG</w:t>
      </w:r>
      <w:r w:rsidRPr="00764A9E">
        <w:rPr>
          <w:rFonts w:ascii="Helvetica" w:eastAsia="新細明體" w:hAnsi="Helvetica" w:cs="Helvetica"/>
          <w:color w:val="4D4D4D"/>
          <w:kern w:val="0"/>
          <w:sz w:val="22"/>
        </w:rPr>
        <w:t>目標。</w:t>
      </w:r>
    </w:p>
    <w:p w:rsidR="007F7A8A" w:rsidRPr="00764A9E" w:rsidRDefault="007F7A8A" w:rsidP="007F7A8A">
      <w:pPr>
        <w:widowControl/>
        <w:numPr>
          <w:ilvl w:val="0"/>
          <w:numId w:val="3"/>
        </w:numPr>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識別，監視，解決或改善影響人類健康的環境因素的解決方案。</w:t>
      </w:r>
    </w:p>
    <w:p w:rsidR="007F7A8A" w:rsidRPr="00764A9E" w:rsidRDefault="007F7A8A" w:rsidP="007F7A8A">
      <w:pPr>
        <w:widowControl/>
        <w:numPr>
          <w:ilvl w:val="0"/>
          <w:numId w:val="3"/>
        </w:numPr>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繪製和分析城市人口模式的解決方案，包括居住在非正式定居點或住房不足中的城市人口比例。</w:t>
      </w:r>
    </w:p>
    <w:p w:rsidR="007F7A8A" w:rsidRPr="00764A9E" w:rsidRDefault="007F7A8A" w:rsidP="007F7A8A">
      <w:pPr>
        <w:widowControl/>
        <w:numPr>
          <w:ilvl w:val="0"/>
          <w:numId w:val="3"/>
        </w:numPr>
        <w:spacing w:before="100" w:beforeAutospacing="1" w:after="100" w:afterAutospacing="1"/>
        <w:rPr>
          <w:rFonts w:ascii="Helvetica" w:eastAsia="新細明體" w:hAnsi="Helvetica" w:cs="Helvetica"/>
          <w:b/>
          <w:color w:val="4D4D4D"/>
          <w:kern w:val="0"/>
          <w:sz w:val="22"/>
        </w:rPr>
      </w:pPr>
      <w:r w:rsidRPr="00764A9E">
        <w:rPr>
          <w:rFonts w:ascii="Helvetica" w:eastAsia="新細明體" w:hAnsi="Helvetica" w:cs="Helvetica"/>
          <w:b/>
          <w:color w:val="4D4D4D"/>
          <w:kern w:val="0"/>
          <w:sz w:val="22"/>
        </w:rPr>
        <w:t>通過使用</w:t>
      </w:r>
      <w:r w:rsidRPr="00764A9E">
        <w:rPr>
          <w:rFonts w:ascii="Helvetica" w:eastAsia="新細明體" w:hAnsi="Helvetica" w:cs="Helvetica"/>
          <w:b/>
          <w:color w:val="4D4D4D"/>
          <w:kern w:val="0"/>
          <w:sz w:val="22"/>
        </w:rPr>
        <w:t>NASA</w:t>
      </w:r>
      <w:r w:rsidRPr="00764A9E">
        <w:rPr>
          <w:rFonts w:ascii="Helvetica" w:eastAsia="新細明體" w:hAnsi="Helvetica" w:cs="Helvetica"/>
          <w:b/>
          <w:color w:val="4D4D4D"/>
          <w:kern w:val="0"/>
          <w:sz w:val="22"/>
        </w:rPr>
        <w:t>地球觀測數據以及通過眾包，社交媒體和現場測量生成的信息，可視化或交互式應用程序展示了</w:t>
      </w:r>
      <w:r w:rsidRPr="00764A9E">
        <w:rPr>
          <w:rFonts w:ascii="Helvetica" w:eastAsia="新細明體" w:hAnsi="Helvetica" w:cs="Helvetica"/>
          <w:b/>
          <w:color w:val="4D4D4D"/>
          <w:kern w:val="0"/>
          <w:sz w:val="22"/>
        </w:rPr>
        <w:t>SDG</w:t>
      </w:r>
      <w:r w:rsidRPr="00764A9E">
        <w:rPr>
          <w:rFonts w:ascii="Helvetica" w:eastAsia="新細明體" w:hAnsi="Helvetica" w:cs="Helvetica"/>
          <w:b/>
          <w:color w:val="4D4D4D"/>
          <w:kern w:val="0"/>
          <w:sz w:val="22"/>
        </w:rPr>
        <w:t>在人們生活中的相互聯繫。</w:t>
      </w:r>
    </w:p>
    <w:p w:rsidR="007F7A8A" w:rsidRPr="00764A9E" w:rsidRDefault="007F7A8A" w:rsidP="007F7A8A">
      <w:pPr>
        <w:widowControl/>
        <w:spacing w:before="100" w:beforeAutospacing="1" w:after="100" w:afterAutospacing="1"/>
        <w:outlineLvl w:val="2"/>
        <w:rPr>
          <w:rFonts w:ascii="Helvetica" w:eastAsia="新細明體" w:hAnsi="Helvetica" w:cs="Helvetica"/>
          <w:b/>
          <w:bCs/>
          <w:color w:val="4D4D4D"/>
          <w:kern w:val="0"/>
          <w:sz w:val="22"/>
        </w:rPr>
      </w:pPr>
      <w:r w:rsidRPr="00764A9E">
        <w:rPr>
          <w:rFonts w:ascii="Helvetica" w:eastAsia="新細明體" w:hAnsi="Helvetica" w:cs="Helvetica"/>
          <w:b/>
          <w:bCs/>
          <w:color w:val="4D4D4D"/>
          <w:kern w:val="0"/>
          <w:sz w:val="22"/>
        </w:rPr>
        <w:t>潛在註意事項</w:t>
      </w:r>
    </w:p>
    <w:p w:rsidR="007F7A8A" w:rsidRPr="00764A9E" w:rsidRDefault="007F7A8A" w:rsidP="007F7A8A">
      <w:pPr>
        <w:widowControl/>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潛在解決方案的一些示例包括（但不限於！）：</w:t>
      </w:r>
    </w:p>
    <w:p w:rsidR="007F7A8A" w:rsidRPr="00764A9E" w:rsidRDefault="007F7A8A" w:rsidP="007F7A8A">
      <w:pPr>
        <w:widowControl/>
        <w:numPr>
          <w:ilvl w:val="0"/>
          <w:numId w:val="4"/>
        </w:numPr>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lastRenderedPageBreak/>
        <w:t>一種決策支持工具，可幫助監控疾病模式，識別導致疾病傳播的環境因素，例如媒介傳播的疾病，並指定需要疾病控制計劃的領域。</w:t>
      </w:r>
    </w:p>
    <w:p w:rsidR="007F7A8A" w:rsidRPr="00764A9E" w:rsidRDefault="007F7A8A" w:rsidP="007F7A8A">
      <w:pPr>
        <w:widowControl/>
        <w:numPr>
          <w:ilvl w:val="0"/>
          <w:numId w:val="4"/>
        </w:numPr>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一種用戶友好的產品，集成了國家和全球級別的數據，包括常規監測站對沿海富營養化</w:t>
      </w:r>
      <w:r w:rsidRPr="00764A9E">
        <w:rPr>
          <w:rFonts w:ascii="Helvetica" w:eastAsia="新細明體" w:hAnsi="Helvetica" w:cs="Helvetica"/>
          <w:color w:val="4D4D4D"/>
          <w:kern w:val="0"/>
          <w:sz w:val="22"/>
        </w:rPr>
        <w:t>/</w:t>
      </w:r>
      <w:r w:rsidRPr="00764A9E">
        <w:rPr>
          <w:rFonts w:ascii="Helvetica" w:eastAsia="新細明體" w:hAnsi="Helvetica" w:cs="Helvetica"/>
          <w:color w:val="4D4D4D"/>
          <w:kern w:val="0"/>
          <w:sz w:val="22"/>
        </w:rPr>
        <w:t>污染的現場觀測。</w:t>
      </w:r>
    </w:p>
    <w:p w:rsidR="007F7A8A" w:rsidRPr="00764A9E" w:rsidRDefault="007F7A8A" w:rsidP="007F7A8A">
      <w:pPr>
        <w:widowControl/>
        <w:numPr>
          <w:ilvl w:val="0"/>
          <w:numId w:val="4"/>
        </w:numPr>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交互式應用程序和</w:t>
      </w:r>
      <w:r w:rsidRPr="00764A9E">
        <w:rPr>
          <w:rFonts w:ascii="Helvetica" w:eastAsia="新細明體" w:hAnsi="Helvetica" w:cs="Helvetica"/>
          <w:color w:val="4D4D4D"/>
          <w:kern w:val="0"/>
          <w:sz w:val="22"/>
        </w:rPr>
        <w:t>/</w:t>
      </w:r>
      <w:r w:rsidRPr="00764A9E">
        <w:rPr>
          <w:rFonts w:ascii="Helvetica" w:eastAsia="新細明體" w:hAnsi="Helvetica" w:cs="Helvetica"/>
          <w:color w:val="4D4D4D"/>
          <w:kern w:val="0"/>
          <w:sz w:val="22"/>
        </w:rPr>
        <w:t>或數據可視化工具，用於跟踪和可視化海洋垃圾</w:t>
      </w:r>
      <w:r w:rsidRPr="00764A9E">
        <w:rPr>
          <w:rFonts w:ascii="Helvetica" w:eastAsia="新細明體" w:hAnsi="Helvetica" w:cs="Helvetica"/>
          <w:color w:val="4D4D4D"/>
          <w:kern w:val="0"/>
          <w:sz w:val="22"/>
        </w:rPr>
        <w:t>/</w:t>
      </w:r>
      <w:r w:rsidRPr="00764A9E">
        <w:rPr>
          <w:rFonts w:ascii="Helvetica" w:eastAsia="新細明體" w:hAnsi="Helvetica" w:cs="Helvetica"/>
          <w:color w:val="4D4D4D"/>
          <w:kern w:val="0"/>
          <w:sz w:val="22"/>
        </w:rPr>
        <w:t>垃圾如何在世界範圍內循環（和運輸）</w:t>
      </w:r>
      <w:r w:rsidRPr="00764A9E">
        <w:rPr>
          <w:rFonts w:ascii="Helvetica" w:eastAsia="新細明體" w:hAnsi="Helvetica" w:cs="Helvetica"/>
          <w:color w:val="4D4D4D"/>
          <w:kern w:val="0"/>
          <w:sz w:val="22"/>
        </w:rPr>
        <w:t>–</w:t>
      </w:r>
      <w:r w:rsidRPr="00764A9E">
        <w:rPr>
          <w:rFonts w:ascii="Helvetica" w:eastAsia="新細明體" w:hAnsi="Helvetica" w:cs="Helvetica"/>
          <w:color w:val="4D4D4D"/>
          <w:kern w:val="0"/>
          <w:sz w:val="22"/>
        </w:rPr>
        <w:t>其起源和</w:t>
      </w:r>
      <w:r w:rsidRPr="00764A9E">
        <w:rPr>
          <w:rFonts w:ascii="Helvetica" w:eastAsia="新細明體" w:hAnsi="Helvetica" w:cs="Helvetica"/>
          <w:color w:val="4D4D4D"/>
          <w:kern w:val="0"/>
          <w:sz w:val="22"/>
        </w:rPr>
        <w:t>/</w:t>
      </w:r>
      <w:r w:rsidRPr="00764A9E">
        <w:rPr>
          <w:rFonts w:ascii="Helvetica" w:eastAsia="新細明體" w:hAnsi="Helvetica" w:cs="Helvetica"/>
          <w:color w:val="4D4D4D"/>
          <w:kern w:val="0"/>
          <w:sz w:val="22"/>
        </w:rPr>
        <w:t>或影響其運動的因素（例如洋流等）。</w:t>
      </w:r>
    </w:p>
    <w:p w:rsidR="007F7A8A" w:rsidRPr="00764A9E" w:rsidRDefault="007F7A8A" w:rsidP="007F7A8A">
      <w:pPr>
        <w:widowControl/>
        <w:numPr>
          <w:ilvl w:val="0"/>
          <w:numId w:val="4"/>
        </w:numPr>
        <w:spacing w:before="100" w:beforeAutospacing="1" w:after="100" w:afterAutospacing="1"/>
        <w:rPr>
          <w:rFonts w:ascii="Helvetica" w:eastAsia="新細明體" w:hAnsi="Helvetica" w:cs="Helvetica"/>
          <w:color w:val="4D4D4D"/>
          <w:kern w:val="0"/>
          <w:sz w:val="22"/>
        </w:rPr>
      </w:pPr>
      <w:r w:rsidRPr="00764A9E">
        <w:rPr>
          <w:rFonts w:ascii="Helvetica" w:eastAsia="新細明體" w:hAnsi="Helvetica" w:cs="Helvetica"/>
          <w:color w:val="4D4D4D"/>
          <w:kern w:val="0"/>
          <w:sz w:val="22"/>
        </w:rPr>
        <w:t>一種分析和可視化工具，展示了地球觀測如何幫助評估</w:t>
      </w:r>
      <w:r w:rsidRPr="00764A9E">
        <w:rPr>
          <w:rFonts w:ascii="Helvetica" w:eastAsia="新細明體" w:hAnsi="Helvetica" w:cs="Helvetica"/>
          <w:color w:val="4D4D4D"/>
          <w:kern w:val="0"/>
          <w:sz w:val="22"/>
        </w:rPr>
        <w:t>SDG</w:t>
      </w:r>
      <w:r w:rsidRPr="00764A9E">
        <w:rPr>
          <w:rFonts w:ascii="Helvetica" w:eastAsia="新細明體" w:hAnsi="Helvetica" w:cs="Helvetica"/>
          <w:color w:val="4D4D4D"/>
          <w:kern w:val="0"/>
          <w:sz w:val="22"/>
        </w:rPr>
        <w:t>的相互聯繫和平衡，特別是與可持續利用自然資源有關的情況。</w:t>
      </w:r>
    </w:p>
    <w:p w:rsidR="007F7A8A" w:rsidRPr="00764A9E" w:rsidRDefault="007F7A8A" w:rsidP="007F7A8A">
      <w:pPr>
        <w:widowControl/>
        <w:spacing w:before="100" w:beforeAutospacing="1" w:after="100" w:afterAutospacing="1"/>
        <w:rPr>
          <w:rFonts w:ascii="Helvetica" w:eastAsia="新細明體" w:hAnsi="Helvetica" w:cs="Helvetica"/>
          <w:b/>
          <w:color w:val="4D4D4D"/>
          <w:kern w:val="0"/>
          <w:sz w:val="22"/>
        </w:rPr>
      </w:pPr>
      <w:r w:rsidRPr="00764A9E">
        <w:rPr>
          <w:rFonts w:ascii="Helvetica" w:eastAsia="新細明體" w:hAnsi="Helvetica" w:cs="Helvetica"/>
          <w:b/>
          <w:color w:val="4D4D4D"/>
          <w:kern w:val="0"/>
          <w:sz w:val="22"/>
        </w:rPr>
        <w:t>請確保指定解決方案旨在解決的</w:t>
      </w:r>
      <w:r w:rsidRPr="00764A9E">
        <w:rPr>
          <w:rFonts w:ascii="Helvetica" w:eastAsia="新細明體" w:hAnsi="Helvetica" w:cs="Helvetica"/>
          <w:b/>
          <w:color w:val="4D4D4D"/>
          <w:kern w:val="0"/>
          <w:sz w:val="22"/>
        </w:rPr>
        <w:t>SDG /</w:t>
      </w:r>
      <w:r w:rsidRPr="00764A9E">
        <w:rPr>
          <w:rFonts w:ascii="Helvetica" w:eastAsia="新細明體" w:hAnsi="Helvetica" w:cs="Helvetica"/>
          <w:b/>
          <w:color w:val="4D4D4D"/>
          <w:kern w:val="0"/>
          <w:sz w:val="22"/>
        </w:rPr>
        <w:t>目標</w:t>
      </w:r>
      <w:r w:rsidRPr="00764A9E">
        <w:rPr>
          <w:rFonts w:ascii="Helvetica" w:eastAsia="新細明體" w:hAnsi="Helvetica" w:cs="Helvetica"/>
          <w:b/>
          <w:color w:val="4D4D4D"/>
          <w:kern w:val="0"/>
          <w:sz w:val="22"/>
        </w:rPr>
        <w:t>/</w:t>
      </w:r>
      <w:r w:rsidRPr="00764A9E">
        <w:rPr>
          <w:rFonts w:ascii="Helvetica" w:eastAsia="新細明體" w:hAnsi="Helvetica" w:cs="Helvetica"/>
          <w:b/>
          <w:color w:val="4D4D4D"/>
          <w:kern w:val="0"/>
          <w:sz w:val="22"/>
        </w:rPr>
        <w:t>指標。</w:t>
      </w:r>
    </w:p>
    <w:p w:rsidR="007F7A8A" w:rsidRPr="00764A9E" w:rsidRDefault="007F7A8A" w:rsidP="007F7A8A">
      <w:pPr>
        <w:widowControl/>
        <w:spacing w:before="100" w:beforeAutospacing="1" w:after="100" w:afterAutospacing="1"/>
        <w:rPr>
          <w:rFonts w:ascii="Helvetica" w:eastAsia="新細明體" w:hAnsi="Helvetica" w:cs="Helvetica"/>
          <w:b/>
          <w:color w:val="4D4D4D"/>
          <w:kern w:val="0"/>
          <w:sz w:val="22"/>
        </w:rPr>
      </w:pPr>
      <w:r w:rsidRPr="00764A9E">
        <w:rPr>
          <w:rFonts w:ascii="Helvetica" w:eastAsia="新細明體" w:hAnsi="Helvetica" w:cs="Helvetica"/>
          <w:b/>
          <w:color w:val="4D4D4D"/>
          <w:kern w:val="0"/>
          <w:sz w:val="22"/>
        </w:rPr>
        <w:t>解決這一挑戰的最引人注目的解決方案將通過幫助用戶使用地球觀測來解決可持續發展目標中的特定可持續發展目標和指標，從而明顯地為用戶社區（負責可持續發展目標監測和報告的地方和國家當局，聯合國機構，其他主要團體和利益相關方）帶來好處。地方，國家或全球規模。</w:t>
      </w:r>
    </w:p>
    <w:p w:rsidR="007F7A8A" w:rsidRPr="00D41182" w:rsidRDefault="007F7A8A" w:rsidP="007F7A8A">
      <w:pPr>
        <w:rPr>
          <w:rFonts w:hint="eastAsia"/>
          <w:sz w:val="22"/>
        </w:rPr>
      </w:pPr>
    </w:p>
    <w:p w:rsidR="002B6719" w:rsidRPr="00D41182" w:rsidRDefault="002B6719">
      <w:pPr>
        <w:rPr>
          <w:sz w:val="22"/>
        </w:rPr>
      </w:pPr>
    </w:p>
    <w:sectPr w:rsidR="002B6719" w:rsidRPr="00D4118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Titillium Web">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26A2"/>
    <w:multiLevelType w:val="multilevel"/>
    <w:tmpl w:val="BF30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569C7"/>
    <w:multiLevelType w:val="multilevel"/>
    <w:tmpl w:val="AAA8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D32F4"/>
    <w:multiLevelType w:val="multilevel"/>
    <w:tmpl w:val="14E6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24351"/>
    <w:multiLevelType w:val="multilevel"/>
    <w:tmpl w:val="5568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51C41"/>
    <w:multiLevelType w:val="multilevel"/>
    <w:tmpl w:val="45BE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B0918"/>
    <w:multiLevelType w:val="multilevel"/>
    <w:tmpl w:val="F9E6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8D"/>
    <w:rsid w:val="000250F8"/>
    <w:rsid w:val="00162C0F"/>
    <w:rsid w:val="00212117"/>
    <w:rsid w:val="002B6719"/>
    <w:rsid w:val="007F7A8A"/>
    <w:rsid w:val="0097548D"/>
    <w:rsid w:val="00D41182"/>
    <w:rsid w:val="00DE69DF"/>
    <w:rsid w:val="00E20F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E861"/>
  <w15:chartTrackingRefBased/>
  <w15:docId w15:val="{574615B6-34A0-47B9-81E2-24AD7057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4">
    <w:name w:val="heading 4"/>
    <w:basedOn w:val="Normal"/>
    <w:link w:val="Heading4Char"/>
    <w:uiPriority w:val="9"/>
    <w:qFormat/>
    <w:rsid w:val="000250F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48D"/>
    <w:pPr>
      <w:widowControl/>
      <w:spacing w:before="100" w:beforeAutospacing="1" w:after="100" w:afterAutospacing="1"/>
    </w:pPr>
    <w:rPr>
      <w:rFonts w:ascii="新細明體" w:eastAsia="新細明體" w:hAnsi="新細明體" w:cs="新細明體"/>
      <w:kern w:val="0"/>
      <w:szCs w:val="24"/>
    </w:rPr>
  </w:style>
  <w:style w:type="character" w:customStyle="1" w:styleId="Heading4Char">
    <w:name w:val="Heading 4 Char"/>
    <w:basedOn w:val="DefaultParagraphFont"/>
    <w:link w:val="Heading4"/>
    <w:uiPriority w:val="9"/>
    <w:rsid w:val="000250F8"/>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0250F8"/>
    <w:rPr>
      <w:color w:val="0000FF"/>
      <w:u w:val="single"/>
    </w:rPr>
  </w:style>
  <w:style w:type="character" w:customStyle="1" w:styleId="redactor-invisible-space">
    <w:name w:val="redactor-invisible-space"/>
    <w:basedOn w:val="DefaultParagraphFont"/>
    <w:rsid w:val="00025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1014">
      <w:bodyDiv w:val="1"/>
      <w:marLeft w:val="0"/>
      <w:marRight w:val="0"/>
      <w:marTop w:val="0"/>
      <w:marBottom w:val="0"/>
      <w:divBdr>
        <w:top w:val="none" w:sz="0" w:space="0" w:color="auto"/>
        <w:left w:val="none" w:sz="0" w:space="0" w:color="auto"/>
        <w:bottom w:val="none" w:sz="0" w:space="0" w:color="auto"/>
        <w:right w:val="none" w:sz="0" w:space="0" w:color="auto"/>
      </w:divBdr>
    </w:div>
    <w:div w:id="16084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fed.us/rm/ecoregions/products/map-ecoregions-continents/" TargetMode="External"/><Relationship Id="rId3" Type="http://schemas.openxmlformats.org/officeDocument/2006/relationships/settings" Target="settings.xml"/><Relationship Id="rId7" Type="http://schemas.openxmlformats.org/officeDocument/2006/relationships/hyperlink" Target="https://disc.gsfc.nasa.gov/datasets/GLDAS_NOAH025_M_2.1/summary?keywords=GLD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iasa.ac.at/Research/LUC/GAEZv3.0/docs/Crop_summ_table_description.xlsx" TargetMode="External"/><Relationship Id="rId11" Type="http://schemas.openxmlformats.org/officeDocument/2006/relationships/fontTable" Target="fontTable.xml"/><Relationship Id="rId5" Type="http://schemas.openxmlformats.org/officeDocument/2006/relationships/hyperlink" Target="http://www.fao.org/fileadmin/user_upload/gaez/docs/GAEZ_Model_Documentation.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5194/gmd-2018-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YU-HSIN HSUEH</dc:creator>
  <cp:keywords/>
  <dc:description/>
  <cp:lastModifiedBy>YU-HSIN HSUEH</cp:lastModifiedBy>
  <cp:revision>5</cp:revision>
  <dcterms:created xsi:type="dcterms:W3CDTF">2019-10-19T14:56:00Z</dcterms:created>
  <dcterms:modified xsi:type="dcterms:W3CDTF">2019-10-19T19:18:00Z</dcterms:modified>
</cp:coreProperties>
</file>