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References — Smart Parcel Box (IoT)</w:t>
      </w:r>
    </w:p>
    <w:p>
      <w:pPr>
        <w:jc w:val="center"/>
      </w:pPr>
      <w:r>
        <w:rPr>
          <w:i/>
          <w:color w:val="505050"/>
          <w:sz w:val="20"/>
        </w:rPr>
        <w:t>Reference list for the ESP32-based Smart Parcel Receiving Box: parcel counting via photoelectric sensors, three-state LED indication, Telegram push notification, and a Firebase-backed web dashboard.</w:t>
      </w:r>
    </w:p>
    <w:p>
      <w:pPr>
        <w:pStyle w:val="Heading1"/>
      </w:pPr>
      <w:r>
        <w:t>1. Telegram Notification</w:t>
      </w:r>
    </w:p>
    <w:p>
      <w:pPr>
        <w:spacing w:before="160" w:after="40"/>
        <w:ind w:left="461" w:hanging="461"/>
      </w:pPr>
      <w:r>
        <w:rPr>
          <w:b/>
        </w:rPr>
        <w:t xml:space="preserve">[1] </w:t>
      </w:r>
      <w:r>
        <w:rPr>
          <w:b/>
        </w:rPr>
        <w:t>Telegram Messenger LLP, “Telegram Bot API.”</w:t>
      </w:r>
      <w:r>
        <w:t xml:space="preserve"> Official API specification.</w:t>
      </w:r>
    </w:p>
    <w:p>
      <w:pPr>
        <w:spacing w:after="20" w:before="0"/>
        <w:ind w:left="461"/>
      </w:pPr>
      <w:hyperlink r:id="rId9">
        <w:r>
          <w:rPr>
            <w:color w:val="1155CC"/>
            <w:u w:val="single"/>
            <w:sz w:val="18"/>
          </w:rPr>
          <w:t>https://core.telegram.org/bots/api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Defines the sendMessage method used by the firmware to push alerts. Request form: https://api.telegram.org/bot&lt;TOKEN&gt;/sendMessage with required fields chat_id and text; optional parse_mode (HTML / MarkdownV2) for formatting. This is the primary normative source for the notification layer.</w:t>
      </w:r>
    </w:p>
    <w:p>
      <w:pPr>
        <w:spacing w:before="160" w:after="40"/>
        <w:ind w:left="461" w:hanging="461"/>
      </w:pPr>
      <w:r>
        <w:rPr>
          <w:b/>
        </w:rPr>
        <w:t xml:space="preserve">[2] </w:t>
      </w:r>
      <w:r>
        <w:rPr>
          <w:b/>
        </w:rPr>
        <w:t>Telegram Messenger LLP, “Bots FAQ — My bot is hitting limits, how do I avoid this?”</w:t>
      </w:r>
    </w:p>
    <w:p>
      <w:pPr>
        <w:spacing w:after="20" w:before="0"/>
        <w:ind w:left="461"/>
      </w:pPr>
      <w:hyperlink r:id="rId10">
        <w:r>
          <w:rPr>
            <w:color w:val="1155CC"/>
            <w:u w:val="single"/>
            <w:sz w:val="18"/>
          </w:rPr>
          <w:t>https://core.telegram.org/bots/faq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States the official rate limits that justify the firmware send-cooldown (TELEGRAM_COOLDOWN_MS): approximately 30 messages per second globally, no more than one message per second in a single chat (short bursts tolerated, then HTTP 429), and 20 messages per minute in a group. Cite this when explaining why notifications are throttled rather than sent on every sensor edge.</w:t>
      </w:r>
    </w:p>
    <w:p>
      <w:pPr>
        <w:spacing w:before="160" w:after="40"/>
        <w:ind w:left="461" w:hanging="461"/>
      </w:pPr>
      <w:r>
        <w:rPr>
          <w:b/>
        </w:rPr>
        <w:t xml:space="preserve">[3] </w:t>
      </w:r>
      <w:r>
        <w:rPr>
          <w:b/>
        </w:rPr>
        <w:t>Telegram Messenger LLP, “Bot API changelog.”</w:t>
      </w:r>
    </w:p>
    <w:p>
      <w:pPr>
        <w:spacing w:after="20" w:before="0"/>
        <w:ind w:left="461"/>
      </w:pPr>
      <w:hyperlink r:id="rId11">
        <w:r>
          <w:rPr>
            <w:color w:val="1155CC"/>
            <w:u w:val="single"/>
            <w:sz w:val="18"/>
          </w:rPr>
          <w:t>https://core.telegram.org/bots/api-changelog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Version history of the Bot API. Use to pin the API revision the project was built and tested against, so the report remains reproducible as the API evolves.</w:t>
      </w:r>
    </w:p>
    <w:p>
      <w:pPr>
        <w:spacing w:before="160" w:after="40"/>
        <w:ind w:left="461" w:hanging="461"/>
      </w:pPr>
      <w:r>
        <w:rPr>
          <w:b/>
        </w:rPr>
        <w:t xml:space="preserve">[4] </w:t>
      </w:r>
      <w:r>
        <w:rPr>
          <w:b/>
        </w:rPr>
        <w:t>EJASET, “Development of an Internet-of-Things (IoT) Based Security System Using ESP32 MCU and the Telegram Bot,”</w:t>
      </w:r>
      <w:r>
        <w:t xml:space="preserve"> European Journal of Applied Science, Engineering and Technology.</w:t>
      </w:r>
    </w:p>
    <w:p>
      <w:pPr>
        <w:spacing w:after="20" w:before="0"/>
        <w:ind w:left="461"/>
      </w:pPr>
      <w:hyperlink r:id="rId12">
        <w:r>
          <w:rPr>
            <w:color w:val="1155CC"/>
            <w:u w:val="single"/>
            <w:sz w:val="18"/>
          </w:rPr>
          <w:t>https://ejaset.com/index.php/journal/article/view/524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Peer-reviewed precedent for the exact architecture used here — ESP32 as the sensing node with Telegram as the mobile notification channel. Suitable as the primary “related work” citation for the notification design.</w:t>
      </w:r>
    </w:p>
    <w:p>
      <w:pPr>
        <w:spacing w:before="160" w:after="40"/>
        <w:ind w:left="461" w:hanging="461"/>
      </w:pPr>
      <w:r>
        <w:rPr>
          <w:b/>
        </w:rPr>
        <w:t xml:space="preserve">[5] </w:t>
      </w:r>
      <w:r>
        <w:rPr>
          <w:b/>
        </w:rPr>
        <w:t>IETF, RFC 8446 — “The Transport Layer Security (TLS) Protocol Version 1.3,”</w:t>
      </w:r>
      <w:r>
        <w:t xml:space="preserve"> E. Rescorla, Aug. 2018.</w:t>
      </w:r>
    </w:p>
    <w:p>
      <w:pPr>
        <w:spacing w:after="20" w:before="0"/>
        <w:ind w:left="461"/>
      </w:pPr>
      <w:hyperlink r:id="rId13">
        <w:r>
          <w:rPr>
            <w:color w:val="1155CC"/>
            <w:u w:val="single"/>
            <w:sz w:val="18"/>
          </w:rPr>
          <w:t>https://www.rfc-editor.org/rfc/rfc8446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The Telegram Bot API is HTTPS-only; the sketch uses WiFiClientSecure. Cite this when discussing transport security, and note as a documented limitation that client.setInsecure() skips certificate-chain verification (see [17] for the recommended production alternative).</w:t>
      </w:r>
    </w:p>
    <w:p>
      <w:pPr>
        <w:pStyle w:val="Heading1"/>
      </w:pPr>
      <w:r>
        <w:t>2. IoT Devices &amp; Hardware</w:t>
      </w:r>
    </w:p>
    <w:p>
      <w:pPr>
        <w:pStyle w:val="Heading2"/>
      </w:pPr>
      <w:r>
        <w:t>2.1 Controller — ESP32</w:t>
      </w:r>
    </w:p>
    <w:p>
      <w:pPr>
        <w:spacing w:before="160" w:after="40"/>
        <w:ind w:left="461" w:hanging="461"/>
      </w:pPr>
      <w:r>
        <w:rPr>
          <w:b/>
        </w:rPr>
        <w:t xml:space="preserve">[6] </w:t>
      </w:r>
      <w:r>
        <w:rPr>
          <w:b/>
        </w:rPr>
        <w:t>Espressif Systems, “ESP32 Series Datasheet.”</w:t>
      </w:r>
    </w:p>
    <w:p>
      <w:pPr>
        <w:spacing w:after="20" w:before="0"/>
        <w:ind w:left="461"/>
      </w:pPr>
      <w:hyperlink r:id="rId14">
        <w:r>
          <w:rPr>
            <w:color w:val="1155CC"/>
            <w:u w:val="single"/>
            <w:sz w:val="18"/>
          </w:rPr>
          <w:t>https://www.espressif.com/sites/default/files/documentation/esp32_datasheet_en.pdf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Authoritative source for pin definitions, absolute-maximum and recommended operating conditions, GPIO current limits, and integrated Wi-Fi 802.11 b/g/n specifications.</w:t>
      </w:r>
    </w:p>
    <w:p>
      <w:pPr>
        <w:spacing w:before="160" w:after="40"/>
        <w:ind w:left="461" w:hanging="461"/>
      </w:pPr>
      <w:r>
        <w:rPr>
          <w:b/>
        </w:rPr>
        <w:t xml:space="preserve">[7] </w:t>
      </w:r>
      <w:r>
        <w:rPr>
          <w:b/>
        </w:rPr>
        <w:t>Espressif Systems, “ESP32 Technical Reference Manual.”</w:t>
      </w:r>
    </w:p>
    <w:p>
      <w:pPr>
        <w:spacing w:after="20" w:before="0"/>
        <w:ind w:left="461"/>
      </w:pPr>
      <w:hyperlink r:id="rId15">
        <w:r>
          <w:rPr>
            <w:color w:val="1155CC"/>
            <w:u w:val="single"/>
            <w:sz w:val="18"/>
          </w:rPr>
          <w:t>https://www.espressif.com/sites/default/files/documentation/esp32_technical_reference_manual_en.pdf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Register- and peripheral-level detail: GPIO matrix, input-only pins, ADC/RTC domains, and the NVS/flash subsystem behind the Preferences library used for non-volatile parcel-count storage.</w:t>
      </w:r>
    </w:p>
    <w:p>
      <w:pPr>
        <w:spacing w:before="160" w:after="40"/>
        <w:ind w:left="461" w:hanging="461"/>
      </w:pPr>
      <w:r>
        <w:rPr>
          <w:b/>
        </w:rPr>
        <w:t xml:space="preserve">[8] </w:t>
      </w:r>
      <w:r>
        <w:rPr>
          <w:b/>
        </w:rPr>
        <w:t>Espressif Systems, “ESP32-WROOM-32 Datasheet.”</w:t>
      </w:r>
    </w:p>
    <w:p>
      <w:pPr>
        <w:spacing w:after="20" w:before="0"/>
        <w:ind w:left="461"/>
      </w:pPr>
      <w:hyperlink r:id="rId16">
        <w:r>
          <w:rPr>
            <w:color w:val="1155CC"/>
            <w:u w:val="single"/>
            <w:sz w:val="18"/>
          </w:rPr>
          <w:t>https://www.espressif.com/sites/default/files/documentation/esp32-wroom-32_datasheet_en.pdf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Module-level datasheet for the specific package on typical ESP32 Dev Module boards — antenna, module dimensions, and recommended PCB layout.</w:t>
      </w:r>
    </w:p>
    <w:p>
      <w:pPr>
        <w:spacing w:before="120" w:after="160"/>
        <w:ind w:left="461"/>
      </w:pPr>
      <w:r>
        <w:rPr>
          <w:b/>
          <w:sz w:val="19"/>
        </w:rPr>
        <w:t xml:space="preserve">Design note worth citing [7]: </w:t>
      </w:r>
      <w:r>
        <w:rPr>
          <w:sz w:val="19"/>
        </w:rPr>
        <w:t>GPIO 34–39 (which includes PIN_COUNT_SS = 35) are input-only and have no internal pull-up/pull-down. External pull-up resistors are therefore mandatory for the NPN open-collector sensors on those pins.</w:t>
      </w:r>
    </w:p>
    <w:p>
      <w:pPr>
        <w:spacing w:before="160" w:after="40"/>
        <w:ind w:left="461" w:hanging="461"/>
      </w:pPr>
      <w:r>
        <w:rPr>
          <w:b/>
        </w:rPr>
        <w:t xml:space="preserve">[9] </w:t>
      </w:r>
      <w:r>
        <w:rPr>
          <w:b/>
        </w:rPr>
        <w:t>Espressif Systems, “ESP-IDF Programming Guide — Hardware Reference (ESP32).”</w:t>
      </w:r>
    </w:p>
    <w:p>
      <w:pPr>
        <w:spacing w:after="20" w:before="0"/>
        <w:ind w:left="461"/>
      </w:pPr>
      <w:hyperlink r:id="rId17">
        <w:r>
          <w:rPr>
            <w:color w:val="1155CC"/>
            <w:u w:val="single"/>
            <w:sz w:val="18"/>
          </w:rPr>
          <w:t>https://docs.espressif.com/projects/esp-idf/en/stable/esp32/hw-reference/index.html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Maintained hardware-reference index and the canonical entry point to current Espressif documentation.</w:t>
      </w:r>
    </w:p>
    <w:p>
      <w:pPr>
        <w:pStyle w:val="Heading2"/>
      </w:pPr>
      <w:r>
        <w:t>2.2 Photoelectric Sensors (Counter / Max. sensor)</w:t>
      </w:r>
    </w:p>
    <w:p>
      <w:pPr>
        <w:spacing w:before="160" w:after="40"/>
        <w:ind w:left="461" w:hanging="461"/>
      </w:pPr>
      <w:r>
        <w:rPr>
          <w:b/>
        </w:rPr>
        <w:t xml:space="preserve">[10] </w:t>
      </w:r>
      <w:r>
        <w:rPr>
          <w:b/>
        </w:rPr>
        <w:t>OMRON Corporation, “E3F2 Photoelectric Sensor — Datasheet.”</w:t>
      </w:r>
    </w:p>
    <w:p>
      <w:pPr>
        <w:spacing w:after="20" w:before="0"/>
        <w:ind w:left="461"/>
      </w:pPr>
      <w:hyperlink r:id="rId18">
        <w:r>
          <w:rPr>
            <w:color w:val="1155CC"/>
            <w:u w:val="single"/>
            <w:sz w:val="18"/>
          </w:rPr>
          <w:t>https://www.omron-pro.ru/doc/sensor/photo/e3f2.PDF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Cylindrical M18 photoelectric sensor family matching the E3F-DS10C2 NPN parts in the bill of materials. Documents the NPN open-collector output (100 mA max., residual voltage 1 V max.), 10–30 VDC supply, sensing distance, and response time — the basis for the 12 V → LM2596 → sensor power design and for level-shifting the output into the 3.3 V ESP32 input.</w:t>
      </w:r>
    </w:p>
    <w:p>
      <w:pPr>
        <w:spacing w:before="160" w:after="40"/>
        <w:ind w:left="461" w:hanging="461"/>
      </w:pPr>
      <w:r>
        <w:rPr>
          <w:b/>
        </w:rPr>
        <w:t xml:space="preserve">[11] </w:t>
      </w:r>
      <w:r>
        <w:rPr>
          <w:b/>
        </w:rPr>
        <w:t>OMRON Industrial Automation, “E3F3 Photoelectric Sensor — Specifications.”</w:t>
      </w:r>
    </w:p>
    <w:p>
      <w:pPr>
        <w:spacing w:after="20" w:before="0"/>
        <w:ind w:left="461"/>
      </w:pPr>
      <w:hyperlink r:id="rId19">
        <w:r>
          <w:rPr>
            <w:color w:val="1155CC"/>
            <w:u w:val="single"/>
            <w:sz w:val="18"/>
          </w:rPr>
          <w:t>https://www.ia.omron.com/products/family/3130/specification.html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Current-generation manufacturer specification page for the same threaded cylindrical family (Photo-IC, built-in amplifier, high noise immunity). Useful as an accessible, live manufacturer citation alongside the archived PDF.</w:t>
      </w:r>
    </w:p>
    <w:p>
      <w:pPr>
        <w:spacing w:before="160" w:after="40"/>
        <w:ind w:left="461" w:hanging="461"/>
      </w:pPr>
      <w:r>
        <w:rPr>
          <w:b/>
        </w:rPr>
        <w:t xml:space="preserve">[12] </w:t>
      </w:r>
      <w:r>
        <w:rPr>
          <w:b/>
        </w:rPr>
        <w:t>OMRON Corporation, “E3Z-F Compact Photoelectric Sensor with Built-in Amplifier — Datasheet.”</w:t>
      </w:r>
    </w:p>
    <w:p>
      <w:pPr>
        <w:spacing w:after="20" w:before="0"/>
        <w:ind w:left="461"/>
      </w:pPr>
      <w:hyperlink r:id="rId20">
        <w:r>
          <w:rPr>
            <w:color w:val="1155CC"/>
            <w:u w:val="single"/>
            <w:sz w:val="18"/>
          </w:rPr>
          <w:t>https://files.omron.eu/downloads/latest/datasheet/en/e76i_e3z-f_compact_photoelectric_sensor_with_built-in_amplifier_datasheet_en.pdf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Comparative reference for photoelectric sensing modes (through-beam, retroreflective, diffuse-reflective) and their trade-offs — supports the justification for the chosen sensing mode at the counter and max-level positions.</w:t>
      </w:r>
    </w:p>
    <w:p>
      <w:pPr>
        <w:pStyle w:val="Heading2"/>
      </w:pPr>
      <w:r>
        <w:t>2.3 Limit Switches &amp; Push Switches (Door detection, Reset)</w:t>
      </w:r>
    </w:p>
    <w:p>
      <w:pPr>
        <w:spacing w:before="160" w:after="40"/>
        <w:ind w:left="461" w:hanging="461"/>
      </w:pPr>
      <w:r>
        <w:rPr>
          <w:b/>
        </w:rPr>
        <w:t xml:space="preserve">[13] </w:t>
      </w:r>
      <w:r>
        <w:rPr>
          <w:b/>
        </w:rPr>
        <w:t>J. Ganssle, “A Guide to Debouncing” (Parts 1 &amp; 2), The Ganssle Group.</w:t>
      </w:r>
    </w:p>
    <w:p>
      <w:pPr>
        <w:spacing w:after="20" w:before="0"/>
        <w:ind w:left="461"/>
      </w:pPr>
      <w:hyperlink r:id="rId21">
        <w:r>
          <w:rPr>
            <w:color w:val="1155CC"/>
            <w:u w:val="single"/>
            <w:sz w:val="18"/>
          </w:rPr>
          <w:t>https://www.ganssle.com/debouncing.htm</w:t>
        </w:r>
      </w:hyperlink>
    </w:p>
    <w:p>
      <w:pPr>
        <w:spacing w:after="20" w:before="0"/>
        <w:ind w:left="461"/>
      </w:pPr>
      <w:hyperlink r:id="rId22">
        <w:r>
          <w:rPr>
            <w:color w:val="1155CC"/>
            <w:u w:val="single"/>
            <w:sz w:val="18"/>
          </w:rPr>
          <w:t>https://www.ganssle.com/debouncing-pt2.htm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The standard engineering reference on contact bounce, containing measured bounce durations for real mechanical switches plus both hardware (RC) and software debounce implementations. This is the citation that justifies DEBOUNCE_MS = 200 for the limit switches and reset push button, and the edge-detection logic in the firmware.</w:t>
      </w:r>
    </w:p>
    <w:p>
      <w:pPr>
        <w:spacing w:before="160" w:after="40"/>
        <w:ind w:left="461" w:hanging="461"/>
      </w:pPr>
      <w:r>
        <w:rPr>
          <w:b/>
        </w:rPr>
        <w:t xml:space="preserve">[14] </w:t>
      </w:r>
      <w:r>
        <w:rPr>
          <w:b/>
        </w:rPr>
        <w:t>J. Ganssle, “Solving Switch Bounce Problems,”</w:t>
      </w:r>
      <w:r>
        <w:t xml:space="preserve"> Embedded.com.</w:t>
      </w:r>
    </w:p>
    <w:p>
      <w:pPr>
        <w:spacing w:after="20" w:before="0"/>
        <w:ind w:left="461"/>
      </w:pPr>
      <w:hyperlink r:id="rId23">
        <w:r>
          <w:rPr>
            <w:color w:val="1155CC"/>
            <w:u w:val="single"/>
            <w:sz w:val="18"/>
          </w:rPr>
          <w:t>https://www.embedded.com/solving-switch-bounce-problems/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Published trade-press version of the same empirical work; convenient short citation.</w:t>
      </w:r>
    </w:p>
    <w:p>
      <w:pPr>
        <w:pStyle w:val="Heading2"/>
      </w:pPr>
      <w:r>
        <w:t>2.4 Power Supply</w:t>
      </w:r>
    </w:p>
    <w:p>
      <w:pPr>
        <w:spacing w:before="160" w:after="40"/>
        <w:ind w:left="461" w:hanging="461"/>
      </w:pPr>
      <w:r>
        <w:rPr>
          <w:b/>
        </w:rPr>
        <w:t xml:space="preserve">[15] </w:t>
      </w:r>
      <w:r>
        <w:rPr>
          <w:b/>
        </w:rPr>
        <w:t>Texas Instruments, “LM2596 SIMPLE SWITCHER Power Converter 150 kHz 3 A Step-Down Voltage Regulator,”</w:t>
      </w:r>
      <w:r>
        <w:t xml:space="preserve"> Datasheet SNVS124.</w:t>
      </w:r>
    </w:p>
    <w:p>
      <w:pPr>
        <w:spacing w:after="20" w:before="0"/>
        <w:ind w:left="461"/>
      </w:pPr>
      <w:hyperlink r:id="rId24">
        <w:r>
          <w:rPr>
            <w:color w:val="1155CC"/>
            <w:u w:val="single"/>
            <w:sz w:val="18"/>
          </w:rPr>
          <w:t>https://www.ti.com/lit/ds/symlink/lm2596.pdf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Datasheet for the LM2596 3 A buck module in the BOM. Documents efficiency, dropout, thermal limits, and external component selection for the 12 V (adaptor) → 5 V/3.3 V rail feeding the ESP32, and confirms adequate headroom for the 12 V sensor loop.</w:t>
      </w:r>
    </w:p>
    <w:p>
      <w:pPr>
        <w:pStyle w:val="Heading1"/>
      </w:pPr>
      <w:r>
        <w:t>3. Backend, Dashboard &amp; Data</w:t>
      </w:r>
    </w:p>
    <w:p>
      <w:pPr>
        <w:spacing w:before="160" w:after="40"/>
        <w:ind w:left="461" w:hanging="461"/>
      </w:pPr>
      <w:r>
        <w:rPr>
          <w:b/>
        </w:rPr>
        <w:t xml:space="preserve">[16] </w:t>
      </w:r>
      <w:r>
        <w:rPr>
          <w:b/>
        </w:rPr>
        <w:t>Google, “Firebase Realtime Database — REST API: Installation &amp; Setup.”</w:t>
      </w:r>
    </w:p>
    <w:p>
      <w:pPr>
        <w:spacing w:after="20" w:before="0"/>
        <w:ind w:left="461"/>
      </w:pPr>
      <w:hyperlink r:id="rId25">
        <w:r>
          <w:rPr>
            <w:color w:val="1155CC"/>
            <w:u w:val="single"/>
            <w:sz w:val="18"/>
          </w:rPr>
          <w:t>https://firebase.google.com/docs/database/rest/start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Normative description of the REST interface the firmware uses: any database path becomes an endpoint by appending .json, with PUT/PATCH/GET over HTTPS. Direct source for the device-to-cloud write path.</w:t>
      </w:r>
    </w:p>
    <w:p>
      <w:pPr>
        <w:spacing w:before="160" w:after="40"/>
        <w:ind w:left="461" w:hanging="461"/>
      </w:pPr>
      <w:r>
        <w:rPr>
          <w:b/>
        </w:rPr>
        <w:t xml:space="preserve">[17] </w:t>
      </w:r>
      <w:r>
        <w:rPr>
          <w:b/>
        </w:rPr>
        <w:t>Google, “Firebase Realtime Database — Authenticate REST Requests.”</w:t>
      </w:r>
    </w:p>
    <w:p>
      <w:pPr>
        <w:spacing w:after="20" w:before="0"/>
        <w:ind w:left="461"/>
      </w:pPr>
      <w:hyperlink r:id="rId26">
        <w:r>
          <w:rPr>
            <w:color w:val="1155CC"/>
            <w:u w:val="single"/>
            <w:sz w:val="18"/>
          </w:rPr>
          <w:t>https://firebase.google.com/docs/database/rest/auth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Covers authenticating REST calls via a Firebase ID token (auth=&lt;ID_TOKEN&gt;) or a service-account OAuth 2.0 access token. Cite in the security section — this is the documented path away from open/test database rules.</w:t>
      </w:r>
    </w:p>
    <w:p>
      <w:pPr>
        <w:spacing w:before="160" w:after="40"/>
        <w:ind w:left="461" w:hanging="461"/>
      </w:pPr>
      <w:r>
        <w:rPr>
          <w:b/>
        </w:rPr>
        <w:t xml:space="preserve">[18] </w:t>
      </w:r>
      <w:r>
        <w:rPr>
          <w:b/>
        </w:rPr>
        <w:t>Google, “Firebase Realtime Database — Retrieving Data.”</w:t>
      </w:r>
    </w:p>
    <w:p>
      <w:pPr>
        <w:spacing w:after="20" w:before="0"/>
        <w:ind w:left="461"/>
      </w:pPr>
      <w:hyperlink r:id="rId27">
        <w:r>
          <w:rPr>
            <w:color w:val="1155CC"/>
            <w:u w:val="single"/>
            <w:sz w:val="18"/>
          </w:rPr>
          <w:t>https://firebase.google.com/docs/database/rest/retrieve-data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Documents REST reads and the EventSource / Server-Sent Events streaming protocol (Accept: text/event-stream), the mechanism underlying the dashboard live status and parcel-count updates.</w:t>
      </w:r>
    </w:p>
    <w:p>
      <w:pPr>
        <w:spacing w:before="160" w:after="40"/>
        <w:ind w:left="461" w:hanging="461"/>
      </w:pPr>
      <w:r>
        <w:rPr>
          <w:b/>
        </w:rPr>
        <w:t xml:space="preserve">[19] </w:t>
      </w:r>
      <w:r>
        <w:rPr>
          <w:b/>
        </w:rPr>
        <w:t>Google, “Firebase Realtime Database — Documentation (overview).”</w:t>
      </w:r>
    </w:p>
    <w:p>
      <w:pPr>
        <w:spacing w:after="20" w:before="0"/>
        <w:ind w:left="461"/>
      </w:pPr>
      <w:hyperlink r:id="rId28">
        <w:r>
          <w:rPr>
            <w:color w:val="1155CC"/>
            <w:u w:val="single"/>
            <w:sz w:val="18"/>
          </w:rPr>
          <w:t>https://firebase.google.com/docs/database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Data model (JSON tree), scaling characteristics, and Security Rules overview; supports the justification for choosing RTDB over a relational store for this low-volume, real-time telemetry workload.</w:t>
      </w:r>
    </w:p>
    <w:p>
      <w:pPr>
        <w:spacing w:before="160" w:after="40"/>
        <w:ind w:left="461" w:hanging="461"/>
      </w:pPr>
      <w:r>
        <w:rPr>
          <w:b/>
        </w:rPr>
        <w:t xml:space="preserve">[20] </w:t>
      </w:r>
      <w:r>
        <w:rPr>
          <w:b/>
        </w:rPr>
        <w:t>B. Blanchon, “ArduinoJson — Official Documentation,”</w:t>
      </w:r>
      <w:r>
        <w:t xml:space="preserve"> v7.</w:t>
      </w:r>
    </w:p>
    <w:p>
      <w:pPr>
        <w:spacing w:after="20" w:before="0"/>
        <w:ind w:left="461"/>
      </w:pPr>
      <w:hyperlink r:id="rId29">
        <w:r>
          <w:rPr>
            <w:color w:val="1155CC"/>
            <w:u w:val="single"/>
            <w:sz w:val="18"/>
          </w:rPr>
          <w:t>https://arduinojson.org/v7/doc/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API and memory-model reference for the JsonDocument used to build the Telegram and Firebase payloads; the “Memory model” chapter is the citation for heap-usage discussion on a constrained MCU.</w:t>
      </w:r>
    </w:p>
    <w:p>
      <w:pPr>
        <w:spacing w:before="160" w:after="40"/>
        <w:ind w:left="461" w:hanging="461"/>
      </w:pPr>
      <w:r>
        <w:rPr>
          <w:b/>
        </w:rPr>
        <w:t xml:space="preserve">[21] </w:t>
      </w:r>
      <w:r>
        <w:rPr>
          <w:b/>
        </w:rPr>
        <w:t>IETF, RFC 8259 — “The JavaScript Object Notation (JSON) Data Interchange Format,”</w:t>
      </w:r>
      <w:r>
        <w:t xml:space="preserve"> T. Bray, Dec. 2017.</w:t>
      </w:r>
    </w:p>
    <w:p>
      <w:pPr>
        <w:spacing w:after="20" w:before="0"/>
        <w:ind w:left="461"/>
      </w:pPr>
      <w:hyperlink r:id="rId30">
        <w:r>
          <w:rPr>
            <w:color w:val="1155CC"/>
            <w:u w:val="single"/>
            <w:sz w:val="18"/>
          </w:rPr>
          <w:t>https://www.rfc-editor.org/rfc/rfc8259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The normative definition of the JSON wire format used on both the Telegram and Firebase interfaces.</w:t>
      </w:r>
    </w:p>
    <w:p>
      <w:pPr>
        <w:spacing w:before="160" w:after="40"/>
        <w:ind w:left="461" w:hanging="461"/>
      </w:pPr>
      <w:r>
        <w:rPr>
          <w:b/>
        </w:rPr>
        <w:t xml:space="preserve">[22] </w:t>
      </w:r>
      <w:r>
        <w:rPr>
          <w:b/>
        </w:rPr>
        <w:t>IETF, RFC 9110 — “HTTP Semantics,”</w:t>
      </w:r>
      <w:r>
        <w:t xml:space="preserve"> R. Fielding, M. Nottingham, J. Reschke, Jun. 2022.</w:t>
      </w:r>
    </w:p>
    <w:p>
      <w:pPr>
        <w:spacing w:after="20" w:before="0"/>
        <w:ind w:left="461"/>
      </w:pPr>
      <w:hyperlink r:id="rId31">
        <w:r>
          <w:rPr>
            <w:color w:val="1155CC"/>
            <w:u w:val="single"/>
            <w:sz w:val="18"/>
          </w:rPr>
          <w:t>https://www.rfc-editor.org/rfc/rfc9110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Current normative HTTP specification — method semantics (GET/PUT/PATCH/POST) and status codes (including 429 Too Many Requests, relevant to [2]).</w:t>
      </w:r>
    </w:p>
    <w:p>
      <w:pPr>
        <w:pStyle w:val="Heading1"/>
      </w:pPr>
      <w:r>
        <w:t>4. Standards, Architecture &amp; Security</w:t>
      </w:r>
    </w:p>
    <w:p>
      <w:pPr>
        <w:spacing w:before="160" w:after="40"/>
        <w:ind w:left="461" w:hanging="461"/>
      </w:pPr>
      <w:r>
        <w:rPr>
          <w:b/>
        </w:rPr>
        <w:t xml:space="preserve">[23] </w:t>
      </w:r>
      <w:r>
        <w:rPr>
          <w:b/>
        </w:rPr>
        <w:t>ITU-T Recommendation Y.4000/Y.2060, “Overview of the Internet of Things,”</w:t>
      </w:r>
      <w:r>
        <w:t xml:space="preserve"> Jun. 2012.</w:t>
      </w:r>
    </w:p>
    <w:p>
      <w:pPr>
        <w:spacing w:after="20" w:before="0"/>
        <w:ind w:left="461"/>
      </w:pPr>
      <w:hyperlink r:id="rId32">
        <w:r>
          <w:rPr>
            <w:color w:val="1155CC"/>
            <w:u w:val="single"/>
            <w:sz w:val="18"/>
          </w:rPr>
          <w:t>https://www.itu.int/rec/T-REC-Y.2060-201206-I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The internationally recognised definition of IoT — “a global infrastructure for the information society, enabling advanced services by interconnecting (physical and virtual) things” — plus the IoT reference model (device, network, service support, application layers). Use this to frame the system architecture chapter: sensors/ESP32 = device layer, Wi-Fi/HTTPS = network layer, Firebase = service support layer, Telegram + dashboard = application layer.</w:t>
      </w:r>
    </w:p>
    <w:p>
      <w:pPr>
        <w:spacing w:before="160" w:after="40"/>
        <w:ind w:left="461" w:hanging="461"/>
      </w:pPr>
      <w:r>
        <w:rPr>
          <w:b/>
        </w:rPr>
        <w:t xml:space="preserve">[24] </w:t>
      </w:r>
      <w:r>
        <w:rPr>
          <w:b/>
        </w:rPr>
        <w:t>M. Fagan, K. N. Megas, K. Scarfone, and M. Smith, “IoT Device Cybersecurity Capability Core Baseline,”</w:t>
      </w:r>
      <w:r>
        <w:t xml:space="preserve"> NISTIR 8259A, NIST, May 2020.</w:t>
      </w:r>
    </w:p>
    <w:p>
      <w:pPr>
        <w:spacing w:after="20" w:before="0"/>
        <w:ind w:left="461"/>
      </w:pPr>
      <w:hyperlink r:id="rId33">
        <w:r>
          <w:rPr>
            <w:color w:val="1155CC"/>
            <w:u w:val="single"/>
            <w:sz w:val="18"/>
          </w:rPr>
          <w:t>https://nvlpubs.nist.gov/nistpubs/ir/2020/NIST.IR.8259a.pdf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Defines the six baseline device capabilities — device identification, device configuration, data protection, logical access to interfaces, software update, and cybersecurity state awareness. The standard checklist for the security-analysis and future-work sections (e.g. credentials in config.h, secure OTA update, and the setInsecure() limitation).</w:t>
      </w:r>
    </w:p>
    <w:p>
      <w:pPr>
        <w:spacing w:before="160" w:after="40"/>
        <w:ind w:left="461" w:hanging="461"/>
      </w:pPr>
      <w:r>
        <w:rPr>
          <w:b/>
        </w:rPr>
        <w:t xml:space="preserve">[25] </w:t>
      </w:r>
      <w:r>
        <w:rPr>
          <w:b/>
        </w:rPr>
        <w:t>NIST, “NISTIR 8259 Series — Foundational Cybersecurity Activities for IoT Device Manufacturers.”</w:t>
      </w:r>
    </w:p>
    <w:p>
      <w:pPr>
        <w:spacing w:after="20" w:before="0"/>
        <w:ind w:left="461"/>
      </w:pPr>
      <w:hyperlink r:id="rId34">
        <w:r>
          <w:rPr>
            <w:color w:val="1155CC"/>
            <w:u w:val="single"/>
            <w:sz w:val="18"/>
          </w:rPr>
          <w:t>https://www.nist.gov/itl/applied-cybersecurity/nist-cybersecurity-iot-program/nistir-8259-series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Series landing page giving the pre-market/post-market activity context surrounding [24].</w:t>
      </w:r>
    </w:p>
    <w:p>
      <w:pPr>
        <w:pStyle w:val="Heading1"/>
      </w:pPr>
      <w:r>
        <w:t>5. Related Work (Smart Parcel / Mail Boxes)</w:t>
      </w:r>
    </w:p>
    <w:p>
      <w:pPr>
        <w:spacing w:before="160" w:after="40"/>
        <w:ind w:left="461" w:hanging="461"/>
      </w:pPr>
      <w:r>
        <w:rPr>
          <w:b/>
        </w:rPr>
        <w:t xml:space="preserve">[26] </w:t>
      </w:r>
      <w:r>
        <w:rPr>
          <w:b/>
        </w:rPr>
        <w:t>“Development of A Smart Box Prototype for Mail and Parcel Posts Using IoT and Solar Energy,”</w:t>
      </w:r>
      <w:r>
        <w:t xml:space="preserve"> in Proc. 2022 5th International Conference on Information and Communications Technology (ICOIACT), Yogyakarta, Indonesia, 2022, pp. 77–81. DOI: 10.1109/ICOIACT55506.2022.9972195</w:t>
      </w:r>
    </w:p>
    <w:p>
      <w:pPr>
        <w:spacing w:after="20" w:before="0"/>
        <w:ind w:left="461"/>
      </w:pPr>
      <w:hyperlink r:id="rId35">
        <w:r>
          <w:rPr>
            <w:color w:val="1155CC"/>
            <w:u w:val="single"/>
            <w:sz w:val="18"/>
          </w:rPr>
          <w:t>https://ieeexplore.ieee.org/document/9972195/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The closest IEEE-indexed precedent. A smart box that receives postal parcels and pushes an arrival notification to the recipient phone (via LINE Notify), with a reported average performance of 96%. Excellent comparison baseline: same problem, different notification channel — supports the choice of Telegram (free, open Bot API, no per-message quota at this scale).</w:t>
      </w:r>
    </w:p>
    <w:p>
      <w:pPr>
        <w:spacing w:before="160" w:after="40"/>
        <w:ind w:left="461" w:hanging="461"/>
      </w:pPr>
      <w:r>
        <w:rPr>
          <w:b/>
        </w:rPr>
        <w:t xml:space="preserve">[27] </w:t>
      </w:r>
      <w:r>
        <w:rPr>
          <w:b/>
        </w:rPr>
        <w:t>“IoT-Based Smart Locker: Innovation in Automatic Package Reception,”</w:t>
      </w:r>
      <w:r>
        <w:t xml:space="preserve"> TELKA — Telekomunikasi, Elektronika, Komputasi dan Kontrol, vol. 12, no. 1, pp. 17–22.</w:t>
      </w:r>
    </w:p>
    <w:p>
      <w:pPr>
        <w:spacing w:after="20" w:before="0"/>
        <w:ind w:left="461"/>
      </w:pPr>
      <w:hyperlink r:id="rId36">
        <w:r>
          <w:rPr>
            <w:color w:val="1155CC"/>
            <w:u w:val="single"/>
            <w:sz w:val="18"/>
          </w:rPr>
          <w:t>https://telka.ee.uinsgd.ac.id/TELKA/article/download/telka.v12n1.17-22/telka.v12n1.17-22_pdf/3075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Peer-reviewed automatic package-reception locker; useful for comparing mechanical design and reception workflow.</w:t>
      </w:r>
    </w:p>
    <w:p>
      <w:pPr>
        <w:spacing w:before="160" w:after="40"/>
        <w:ind w:left="461" w:hanging="461"/>
      </w:pPr>
      <w:r>
        <w:rPr>
          <w:b/>
        </w:rPr>
        <w:t xml:space="preserve">[28] </w:t>
      </w:r>
      <w:r>
        <w:rPr>
          <w:b/>
        </w:rPr>
        <w:t>“IoT-Based Package Drop Box System Using Arduino Uno and ESP32-CAM,”</w:t>
      </w:r>
      <w:r>
        <w:t xml:space="preserve"> Jurnal Sistem Cerdas.</w:t>
      </w:r>
    </w:p>
    <w:p>
      <w:pPr>
        <w:spacing w:after="20" w:before="0"/>
        <w:ind w:left="461"/>
      </w:pPr>
      <w:hyperlink r:id="rId37">
        <w:r>
          <w:rPr>
            <w:color w:val="1155CC"/>
            <w:u w:val="single"/>
            <w:sz w:val="18"/>
          </w:rPr>
          <w:t>https://apic.id/jurnal/index.php/jsc/article/view/581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ESP32 + Telegram package drop box using an ultrasonic sensor for arrival detection (~10 cm) and ESP32-CAM for security. Direct comparison point for the detection method: ultrasonic ranging vs. the photoelectric beam-break counting used in this project.</w:t>
      </w:r>
    </w:p>
    <w:p>
      <w:pPr>
        <w:spacing w:before="160" w:after="40"/>
        <w:ind w:left="461" w:hanging="461"/>
      </w:pPr>
      <w:r>
        <w:rPr>
          <w:b/>
        </w:rPr>
        <w:t xml:space="preserve">[29] </w:t>
      </w:r>
      <w:r>
        <w:rPr>
          <w:b/>
        </w:rPr>
        <w:t>“Design and implementation of an IoT-based automatic package box security system with vibration sensors and GSM notifications using ESP32,”</w:t>
      </w:r>
      <w:r>
        <w:t xml:space="preserve"> Jurnal Sains, Teknologi &amp; Komputer.</w:t>
      </w:r>
    </w:p>
    <w:p>
      <w:pPr>
        <w:spacing w:after="20" w:before="0"/>
        <w:ind w:left="461"/>
      </w:pPr>
      <w:hyperlink r:id="rId38">
        <w:r>
          <w:rPr>
            <w:color w:val="1155CC"/>
            <w:u w:val="single"/>
            <w:sz w:val="18"/>
          </w:rPr>
          <w:t>https://jurnal.larisma.or.id/index.php/SAINTEK/article/view/1630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ESP32 parcel box with vibration-based anti-theft and GSM notification. Comparison point for notification transport (GSM/SMS vs. Wi-Fi/Internet) and for future anti-theft work.</w:t>
      </w:r>
    </w:p>
    <w:p>
      <w:pPr>
        <w:spacing w:before="160" w:after="40"/>
        <w:ind w:left="461" w:hanging="461"/>
      </w:pPr>
      <w:r>
        <w:rPr>
          <w:b/>
        </w:rPr>
        <w:t xml:space="preserve">[30] </w:t>
      </w:r>
      <w:r>
        <w:rPr>
          <w:b/>
        </w:rPr>
        <w:t>“Smart Parcel Delivery Receiving Box for Secure Parcel Drop-Off,”</w:t>
      </w:r>
      <w:r>
        <w:t xml:space="preserve"> International Journal of Research Publication and Reviews (IJRPR), vol. 6, no. 10.</w:t>
      </w:r>
    </w:p>
    <w:p>
      <w:pPr>
        <w:spacing w:after="20" w:before="0"/>
        <w:ind w:left="461"/>
      </w:pPr>
      <w:hyperlink r:id="rId39">
        <w:r>
          <w:rPr>
            <w:color w:val="1155CC"/>
            <w:u w:val="single"/>
            <w:sz w:val="18"/>
          </w:rPr>
          <w:t>https://ijrpr.com/uploads/V6ISSUE10/IJRPR54313.pdf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Recent survey-style treatment of the secure parcel drop-off problem; useful for the introduction/problem-statement (e-commerce growth, porch theft, failed deliveries).</w:t>
      </w:r>
    </w:p>
    <w:p>
      <w:pPr>
        <w:spacing w:before="160" w:after="40"/>
        <w:ind w:left="461" w:hanging="461"/>
      </w:pPr>
      <w:r>
        <w:rPr>
          <w:b/>
        </w:rPr>
        <w:t xml:space="preserve">[31] </w:t>
      </w:r>
      <w:r>
        <w:rPr>
          <w:b/>
        </w:rPr>
        <w:t>“A Solar-Powered IoT Connected Physical Mailbox Interfaced with Smart Devices,”</w:t>
      </w:r>
      <w:r>
        <w:t xml:space="preserve"> IoT (MDPI), vol. 1, no. 1, art. 8.</w:t>
      </w:r>
    </w:p>
    <w:p>
      <w:pPr>
        <w:spacing w:after="20" w:before="0"/>
        <w:ind w:left="461"/>
      </w:pPr>
      <w:hyperlink r:id="rId40">
        <w:r>
          <w:rPr>
            <w:color w:val="1155CC"/>
            <w:u w:val="single"/>
            <w:sz w:val="18"/>
          </w:rPr>
          <w:t>https://www.mdpi.com/2624-831X/1/1/8</w:t>
        </w:r>
      </w:hyperlink>
    </w:p>
    <w:p>
      <w:pPr>
        <w:spacing w:before="60" w:after="80"/>
        <w:ind w:left="461"/>
      </w:pPr>
      <w:r>
        <w:rPr>
          <w:color w:val="404040"/>
          <w:sz w:val="19"/>
        </w:rPr>
        <w:t>Open-access MDPI paper on an IoT mailbox with smart-device integration — a citable, freely accessible reference for the mailbox-notification literature and a starting point for solar-powered future work.</w:t>
      </w:r>
    </w:p>
    <w:p>
      <w:r>
        <w:br w:type="page"/>
      </w:r>
    </w:p>
    <w:p>
      <w:pPr>
        <w:pStyle w:val="Heading1"/>
      </w:pPr>
      <w:r>
        <w:t>Mapping: Requirement → Reference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904"/>
          </w:tcPr>
          <w:p>
            <w:r/>
            <w:r>
              <w:rPr>
                <w:b/>
                <w:sz w:val="20"/>
              </w:rPr>
              <w:t>Project requirement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20"/>
              </w:rPr>
              <w:t>References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Notify phone when a parcel is delivered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[1], [2], [4], [26]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Notification throttling / cooldown design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[2], [22]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Counter sensor &amp; Max. sensor (parcel detection)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[10], [11], [12]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Limit switches (Input/Output doors), reset button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[13], [14]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Controller selection &amp; GPIO/pin constraints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[6], [7], [8], [9]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Non-volatile parcel count across power loss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[7], [9]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12 V adaptor → regulated MCU/sensor rails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[15], [10]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Dashboard showing parcel count + 3 statuses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[16], [18], [19]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Live dashboard updates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[18]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JSON payload construction on the MCU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[20], [21]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Overall IoT system architecture / layer model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[23]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Security analysis &amp; limitations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[5], [17], [24], [25]</w:t>
            </w:r>
          </w:p>
        </w:tc>
      </w:tr>
      <w:tr>
        <w:tc>
          <w:tcPr>
            <w:tcW w:type="dxa" w:w="5904"/>
          </w:tcPr>
          <w:p>
            <w:r/>
            <w:r>
              <w:rPr>
                <w:sz w:val="19"/>
              </w:rPr>
              <w:t>Related work &amp; comparison</w:t>
            </w:r>
          </w:p>
        </w:tc>
        <w:tc>
          <w:tcPr>
            <w:tcW w:type="dxa" w:w="3312"/>
          </w:tcPr>
          <w:p>
            <w:r/>
            <w:r>
              <w:rPr>
                <w:sz w:val="19"/>
              </w:rPr>
              <w:t>[26], [27], [28], [29], [30], [31]</w:t>
            </w:r>
          </w:p>
        </w:tc>
      </w:tr>
    </w:tbl>
    <w:p/>
    <w:p>
      <w:pPr>
        <w:jc w:val="center"/>
      </w:pPr>
      <w:r>
        <w:rPr>
          <w:i/>
          <w:color w:val="707070"/>
          <w:sz w:val="18"/>
        </w:rPr>
        <w:t>All URLs verified accessible as of 7 September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3A5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3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34546E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re.telegram.org/bots/api" TargetMode="External"/><Relationship Id="rId10" Type="http://schemas.openxmlformats.org/officeDocument/2006/relationships/hyperlink" Target="https://core.telegram.org/bots/faq" TargetMode="External"/><Relationship Id="rId11" Type="http://schemas.openxmlformats.org/officeDocument/2006/relationships/hyperlink" Target="https://core.telegram.org/bots/api-changelog" TargetMode="External"/><Relationship Id="rId12" Type="http://schemas.openxmlformats.org/officeDocument/2006/relationships/hyperlink" Target="https://ejaset.com/index.php/journal/article/view/524" TargetMode="External"/><Relationship Id="rId13" Type="http://schemas.openxmlformats.org/officeDocument/2006/relationships/hyperlink" Target="https://www.rfc-editor.org/rfc/rfc8446" TargetMode="External"/><Relationship Id="rId14" Type="http://schemas.openxmlformats.org/officeDocument/2006/relationships/hyperlink" Target="https://www.espressif.com/sites/default/files/documentation/esp32_datasheet_en.pdf" TargetMode="External"/><Relationship Id="rId15" Type="http://schemas.openxmlformats.org/officeDocument/2006/relationships/hyperlink" Target="https://www.espressif.com/sites/default/files/documentation/esp32_technical_reference_manual_en.pdf" TargetMode="External"/><Relationship Id="rId16" Type="http://schemas.openxmlformats.org/officeDocument/2006/relationships/hyperlink" Target="https://www.espressif.com/sites/default/files/documentation/esp32-wroom-32_datasheet_en.pdf" TargetMode="External"/><Relationship Id="rId17" Type="http://schemas.openxmlformats.org/officeDocument/2006/relationships/hyperlink" Target="https://docs.espressif.com/projects/esp-idf/en/stable/esp32/hw-reference/index.html" TargetMode="External"/><Relationship Id="rId18" Type="http://schemas.openxmlformats.org/officeDocument/2006/relationships/hyperlink" Target="https://www.omron-pro.ru/doc/sensor/photo/e3f2.PDF" TargetMode="External"/><Relationship Id="rId19" Type="http://schemas.openxmlformats.org/officeDocument/2006/relationships/hyperlink" Target="https://www.ia.omron.com/products/family/3130/specification.html" TargetMode="External"/><Relationship Id="rId20" Type="http://schemas.openxmlformats.org/officeDocument/2006/relationships/hyperlink" Target="https://files.omron.eu/downloads/latest/datasheet/en/e76i_e3z-f_compact_photoelectric_sensor_with_built-in_amplifier_datasheet_en.pdf" TargetMode="External"/><Relationship Id="rId21" Type="http://schemas.openxmlformats.org/officeDocument/2006/relationships/hyperlink" Target="https://www.ganssle.com/debouncing.htm" TargetMode="External"/><Relationship Id="rId22" Type="http://schemas.openxmlformats.org/officeDocument/2006/relationships/hyperlink" Target="https://www.ganssle.com/debouncing-pt2.htm" TargetMode="External"/><Relationship Id="rId23" Type="http://schemas.openxmlformats.org/officeDocument/2006/relationships/hyperlink" Target="https://www.embedded.com/solving-switch-bounce-problems/" TargetMode="External"/><Relationship Id="rId24" Type="http://schemas.openxmlformats.org/officeDocument/2006/relationships/hyperlink" Target="https://www.ti.com/lit/ds/symlink/lm2596.pdf" TargetMode="External"/><Relationship Id="rId25" Type="http://schemas.openxmlformats.org/officeDocument/2006/relationships/hyperlink" Target="https://firebase.google.com/docs/database/rest/start" TargetMode="External"/><Relationship Id="rId26" Type="http://schemas.openxmlformats.org/officeDocument/2006/relationships/hyperlink" Target="https://firebase.google.com/docs/database/rest/auth" TargetMode="External"/><Relationship Id="rId27" Type="http://schemas.openxmlformats.org/officeDocument/2006/relationships/hyperlink" Target="https://firebase.google.com/docs/database/rest/retrieve-data" TargetMode="External"/><Relationship Id="rId28" Type="http://schemas.openxmlformats.org/officeDocument/2006/relationships/hyperlink" Target="https://firebase.google.com/docs/database" TargetMode="External"/><Relationship Id="rId29" Type="http://schemas.openxmlformats.org/officeDocument/2006/relationships/hyperlink" Target="https://arduinojson.org/v7/doc/" TargetMode="External"/><Relationship Id="rId30" Type="http://schemas.openxmlformats.org/officeDocument/2006/relationships/hyperlink" Target="https://www.rfc-editor.org/rfc/rfc8259" TargetMode="External"/><Relationship Id="rId31" Type="http://schemas.openxmlformats.org/officeDocument/2006/relationships/hyperlink" Target="https://www.rfc-editor.org/rfc/rfc9110" TargetMode="External"/><Relationship Id="rId32" Type="http://schemas.openxmlformats.org/officeDocument/2006/relationships/hyperlink" Target="https://www.itu.int/rec/T-REC-Y.2060-201206-I" TargetMode="External"/><Relationship Id="rId33" Type="http://schemas.openxmlformats.org/officeDocument/2006/relationships/hyperlink" Target="https://nvlpubs.nist.gov/nistpubs/ir/2020/NIST.IR.8259a.pdf" TargetMode="External"/><Relationship Id="rId34" Type="http://schemas.openxmlformats.org/officeDocument/2006/relationships/hyperlink" Target="https://www.nist.gov/itl/applied-cybersecurity/nist-cybersecurity-iot-program/nistir-8259-series" TargetMode="External"/><Relationship Id="rId35" Type="http://schemas.openxmlformats.org/officeDocument/2006/relationships/hyperlink" Target="https://ieeexplore.ieee.org/document/9972195/" TargetMode="External"/><Relationship Id="rId36" Type="http://schemas.openxmlformats.org/officeDocument/2006/relationships/hyperlink" Target="https://telka.ee.uinsgd.ac.id/TELKA/article/download/telka.v12n1.17-22/telka.v12n1.17-22_pdf/3075" TargetMode="External"/><Relationship Id="rId37" Type="http://schemas.openxmlformats.org/officeDocument/2006/relationships/hyperlink" Target="https://apic.id/jurnal/index.php/jsc/article/view/581" TargetMode="External"/><Relationship Id="rId38" Type="http://schemas.openxmlformats.org/officeDocument/2006/relationships/hyperlink" Target="https://jurnal.larisma.or.id/index.php/SAINTEK/article/view/1630" TargetMode="External"/><Relationship Id="rId39" Type="http://schemas.openxmlformats.org/officeDocument/2006/relationships/hyperlink" Target="https://ijrpr.com/uploads/V6ISSUE10/IJRPR54313.pdf" TargetMode="External"/><Relationship Id="rId40" Type="http://schemas.openxmlformats.org/officeDocument/2006/relationships/hyperlink" Target="https://www.mdpi.com/2624-831X/1/1/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