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References — Smart Parcel Box (IoT)</w:t>
      </w:r>
    </w:p>
    <w:p>
      <w:pPr>
        <w:jc w:val="center"/>
      </w:pPr>
      <w:r>
        <w:rPr>
          <w:i/>
          <w:color w:val="505050"/>
          <w:sz w:val="20"/>
        </w:rPr>
        <w:t>Reference list for the ESP32-based Smart Parcel Receiving Box: parcel counting and box-full detection via a single photoelectric sensor, three-state LED indication, Telegram push notification, and a Firebase-backed web dashboard.</w:t>
      </w:r>
    </w:p>
    <w:p>
      <w:pPr>
        <w:pStyle w:val="Heading1"/>
      </w:pPr>
      <w:r>
        <w:t>1. Telegram Notification</w:t>
      </w:r>
    </w:p>
    <w:p>
      <w:pPr>
        <w:spacing w:before="160" w:after="40"/>
        <w:ind w:left="461" w:hanging="461"/>
      </w:pPr>
      <w:r>
        <w:rPr>
          <w:b/>
        </w:rPr>
        <w:t xml:space="preserve">[1] </w:t>
      </w:r>
      <w:r>
        <w:rPr>
          <w:b/>
        </w:rPr>
        <w:t>Telegram Messenger LLP, “Telegram Bot API.”</w:t>
      </w:r>
      <w:r>
        <w:t xml:space="preserve"> Official API specification.</w:t>
      </w:r>
    </w:p>
    <w:p>
      <w:pPr>
        <w:spacing w:after="20" w:before="0"/>
        <w:ind w:left="461"/>
      </w:pPr>
      <w:hyperlink r:id="rId9">
        <w:r>
          <w:rPr>
            <w:color w:val="1155CC"/>
            <w:u w:val="single"/>
            <w:sz w:val="18"/>
          </w:rPr>
          <w:t>https://core.telegram.org/bots/api</w:t>
        </w:r>
      </w:hyperlink>
    </w:p>
    <w:p>
      <w:pPr>
        <w:spacing w:before="60" w:after="80"/>
        <w:ind w:left="461"/>
      </w:pPr>
      <w:r>
        <w:rPr>
          <w:color w:val="404040"/>
          <w:sz w:val="19"/>
        </w:rPr>
        <w:t>Defines the sendMessage method used by the firmware to push alerts. Request form: https://api.telegram.org/bot&lt;TOKEN&gt;/sendMessage with required fields chat_id and text; optional parse_mode (HTML / MarkdownV2) for formatting. This is the primary normative source for the notification layer.</w:t>
      </w:r>
    </w:p>
    <w:p>
      <w:pPr>
        <w:spacing w:before="160" w:after="40"/>
        <w:ind w:left="461" w:hanging="461"/>
      </w:pPr>
      <w:r>
        <w:rPr>
          <w:b/>
        </w:rPr>
        <w:t xml:space="preserve">[2] </w:t>
      </w:r>
      <w:r>
        <w:rPr>
          <w:b/>
        </w:rPr>
        <w:t>Telegram Messenger LLP, “Bots FAQ — My bot is hitting limits, how do I avoid this?”</w:t>
      </w:r>
    </w:p>
    <w:p>
      <w:pPr>
        <w:spacing w:after="20" w:before="0"/>
        <w:ind w:left="461"/>
      </w:pPr>
      <w:hyperlink r:id="rId10">
        <w:r>
          <w:rPr>
            <w:color w:val="1155CC"/>
            <w:u w:val="single"/>
            <w:sz w:val="18"/>
          </w:rPr>
          <w:t>https://core.telegram.org/bots/faq</w:t>
        </w:r>
      </w:hyperlink>
    </w:p>
    <w:p>
      <w:pPr>
        <w:spacing w:before="60" w:after="80"/>
        <w:ind w:left="461"/>
      </w:pPr>
      <w:r>
        <w:rPr>
          <w:color w:val="404040"/>
          <w:sz w:val="19"/>
        </w:rPr>
        <w:t>States the official rate limits that justify the firmware send-cooldown (TELEGRAM_COOLDOWN_MS): approximately 30 messages per second globally, no more than one message per second in a single chat (short bursts tolerated, then HTTP 429), and 20 messages per minute in a group. Cite this when explaining why notifications are throttled rather than sent on every sensor edge.</w:t>
      </w:r>
    </w:p>
    <w:p>
      <w:pPr>
        <w:spacing w:before="160" w:after="40"/>
        <w:ind w:left="461" w:hanging="461"/>
      </w:pPr>
      <w:r>
        <w:rPr>
          <w:b/>
        </w:rPr>
        <w:t xml:space="preserve">[3] </w:t>
      </w:r>
      <w:r>
        <w:rPr>
          <w:b/>
        </w:rPr>
        <w:t>Telegram Messenger LLP, “Bot API changelog.”</w:t>
      </w:r>
    </w:p>
    <w:p>
      <w:pPr>
        <w:spacing w:after="20" w:before="0"/>
        <w:ind w:left="461"/>
      </w:pPr>
      <w:hyperlink r:id="rId11">
        <w:r>
          <w:rPr>
            <w:color w:val="1155CC"/>
            <w:u w:val="single"/>
            <w:sz w:val="18"/>
          </w:rPr>
          <w:t>https://core.telegram.org/bots/api-changelog</w:t>
        </w:r>
      </w:hyperlink>
    </w:p>
    <w:p>
      <w:pPr>
        <w:spacing w:before="60" w:after="80"/>
        <w:ind w:left="461"/>
      </w:pPr>
      <w:r>
        <w:rPr>
          <w:color w:val="404040"/>
          <w:sz w:val="19"/>
        </w:rPr>
        <w:t>Version history of the Bot API. Use to pin the API revision the project was built and tested against, so the report remains reproducible as the API evolves.</w:t>
      </w:r>
    </w:p>
    <w:p>
      <w:pPr>
        <w:spacing w:before="160" w:after="40"/>
        <w:ind w:left="461" w:hanging="461"/>
      </w:pPr>
      <w:r>
        <w:rPr>
          <w:b/>
        </w:rPr>
        <w:t xml:space="preserve">[4] </w:t>
      </w:r>
      <w:r>
        <w:rPr>
          <w:b/>
        </w:rPr>
        <w:t>EJASET, “Development of an Internet-of-Things (IoT) Based Security System Using ESP32 MCU and the Telegram Bot,”</w:t>
      </w:r>
      <w:r>
        <w:t xml:space="preserve"> European Journal of Applied Science, Engineering and Technology.</w:t>
      </w:r>
    </w:p>
    <w:p>
      <w:pPr>
        <w:spacing w:after="20" w:before="0"/>
        <w:ind w:left="461"/>
      </w:pPr>
      <w:hyperlink r:id="rId12">
        <w:r>
          <w:rPr>
            <w:color w:val="1155CC"/>
            <w:u w:val="single"/>
            <w:sz w:val="18"/>
          </w:rPr>
          <w:t>https://ejaset.com/index.php/journal/article/view/524</w:t>
        </w:r>
      </w:hyperlink>
    </w:p>
    <w:p>
      <w:pPr>
        <w:spacing w:before="60" w:after="80"/>
        <w:ind w:left="461"/>
      </w:pPr>
      <w:r>
        <w:rPr>
          <w:color w:val="404040"/>
          <w:sz w:val="19"/>
        </w:rPr>
        <w:t>Peer-reviewed precedent for the exact architecture used here — ESP32 as the sensing node with Telegram as the mobile notification channel. Suitable as the primary “related work” citation for the notification design.</w:t>
      </w:r>
    </w:p>
    <w:p>
      <w:pPr>
        <w:spacing w:before="160" w:after="40"/>
        <w:ind w:left="461" w:hanging="461"/>
      </w:pPr>
      <w:r>
        <w:rPr>
          <w:b/>
        </w:rPr>
        <w:t xml:space="preserve">[5] </w:t>
      </w:r>
      <w:r>
        <w:rPr>
          <w:b/>
        </w:rPr>
        <w:t>IETF, RFC 8446 — “The Transport Layer Security (TLS) Protocol Version 1.3,”</w:t>
      </w:r>
      <w:r>
        <w:t xml:space="preserve"> E. Rescorla, Aug. 2018.</w:t>
      </w:r>
    </w:p>
    <w:p>
      <w:pPr>
        <w:spacing w:after="20" w:before="0"/>
        <w:ind w:left="461"/>
      </w:pPr>
      <w:hyperlink r:id="rId13">
        <w:r>
          <w:rPr>
            <w:color w:val="1155CC"/>
            <w:u w:val="single"/>
            <w:sz w:val="18"/>
          </w:rPr>
          <w:t>https://www.rfc-editor.org/rfc/rfc8446</w:t>
        </w:r>
      </w:hyperlink>
    </w:p>
    <w:p>
      <w:pPr>
        <w:spacing w:before="60" w:after="80"/>
        <w:ind w:left="461"/>
      </w:pPr>
      <w:r>
        <w:rPr>
          <w:color w:val="404040"/>
          <w:sz w:val="19"/>
        </w:rPr>
        <w:t>The Telegram Bot API is HTTPS-only; the sketch uses WiFiClientSecure. Cite this when discussing transport security, and note as a documented limitation that client.setInsecure() skips certificate-chain verification (see [16] for the recommended production alternative).</w:t>
      </w:r>
    </w:p>
    <w:p>
      <w:pPr>
        <w:pStyle w:val="Heading1"/>
      </w:pPr>
      <w:r>
        <w:t>2. IoT Devices &amp; Hardware</w:t>
      </w:r>
    </w:p>
    <w:p>
      <w:pPr>
        <w:pStyle w:val="Heading2"/>
      </w:pPr>
      <w:r>
        <w:t>2.1 Controller — ESP32</w:t>
      </w:r>
    </w:p>
    <w:p>
      <w:pPr>
        <w:spacing w:before="160" w:after="40"/>
        <w:ind w:left="461" w:hanging="461"/>
      </w:pPr>
      <w:r>
        <w:rPr>
          <w:b/>
        </w:rPr>
        <w:t xml:space="preserve">[6] </w:t>
      </w:r>
      <w:r>
        <w:rPr>
          <w:b/>
        </w:rPr>
        <w:t>Espressif Systems, “ESP32 Series Datasheet.”</w:t>
      </w:r>
    </w:p>
    <w:p>
      <w:pPr>
        <w:spacing w:after="20" w:before="0"/>
        <w:ind w:left="461"/>
      </w:pPr>
      <w:hyperlink r:id="rId14">
        <w:r>
          <w:rPr>
            <w:color w:val="1155CC"/>
            <w:u w:val="single"/>
            <w:sz w:val="18"/>
          </w:rPr>
          <w:t>https://www.espressif.com/sites/default/files/documentation/esp32_datasheet_en.pdf</w:t>
        </w:r>
      </w:hyperlink>
    </w:p>
    <w:p>
      <w:pPr>
        <w:spacing w:before="60" w:after="80"/>
        <w:ind w:left="461"/>
      </w:pPr>
      <w:r>
        <w:rPr>
          <w:color w:val="404040"/>
          <w:sz w:val="19"/>
        </w:rPr>
        <w:t>Authoritative source for pin definitions, absolute-maximum and recommended operating conditions, GPIO current limits, and integrated Wi-Fi 802.11 b/g/n specifications.</w:t>
      </w:r>
    </w:p>
    <w:p>
      <w:pPr>
        <w:spacing w:before="160" w:after="40"/>
        <w:ind w:left="461" w:hanging="461"/>
      </w:pPr>
      <w:r>
        <w:rPr>
          <w:b/>
        </w:rPr>
        <w:t xml:space="preserve">[7] </w:t>
      </w:r>
      <w:r>
        <w:rPr>
          <w:b/>
        </w:rPr>
        <w:t>Espressif Systems, “ESP32 Technical Reference Manual.”</w:t>
      </w:r>
    </w:p>
    <w:p>
      <w:pPr>
        <w:spacing w:after="20" w:before="0"/>
        <w:ind w:left="461"/>
      </w:pPr>
      <w:hyperlink r:id="rId15">
        <w:r>
          <w:rPr>
            <w:color w:val="1155CC"/>
            <w:u w:val="single"/>
            <w:sz w:val="18"/>
          </w:rPr>
          <w:t>https://www.espressif.com/sites/default/files/documentation/esp32_technical_reference_manual_en.pdf</w:t>
        </w:r>
      </w:hyperlink>
    </w:p>
    <w:p>
      <w:pPr>
        <w:spacing w:before="60" w:after="80"/>
        <w:ind w:left="461"/>
      </w:pPr>
      <w:r>
        <w:rPr>
          <w:color w:val="404040"/>
          <w:sz w:val="19"/>
        </w:rPr>
        <w:t>Register- and peripheral-level detail: GPIO matrix, input-only pins, ADC/RTC domains, and the NVS/flash subsystem behind the Preferences library used for non-volatile parcel-count storage.</w:t>
      </w:r>
    </w:p>
    <w:p>
      <w:pPr>
        <w:spacing w:before="160" w:after="40"/>
        <w:ind w:left="461" w:hanging="461"/>
      </w:pPr>
      <w:r>
        <w:rPr>
          <w:b/>
        </w:rPr>
        <w:t xml:space="preserve">[8] </w:t>
      </w:r>
      <w:r>
        <w:rPr>
          <w:b/>
        </w:rPr>
        <w:t>Espressif Systems, “ESP32-WROOM-32 Datasheet.”</w:t>
      </w:r>
    </w:p>
    <w:p>
      <w:pPr>
        <w:spacing w:after="20" w:before="0"/>
        <w:ind w:left="461"/>
      </w:pPr>
      <w:hyperlink r:id="rId16">
        <w:r>
          <w:rPr>
            <w:color w:val="1155CC"/>
            <w:u w:val="single"/>
            <w:sz w:val="18"/>
          </w:rPr>
          <w:t>https://www.espressif.com/sites/default/files/documentation/esp32-wroom-32_datasheet_en.pdf</w:t>
        </w:r>
      </w:hyperlink>
    </w:p>
    <w:p>
      <w:pPr>
        <w:spacing w:before="60" w:after="80"/>
        <w:ind w:left="461"/>
      </w:pPr>
      <w:r>
        <w:rPr>
          <w:color w:val="404040"/>
          <w:sz w:val="19"/>
        </w:rPr>
        <w:t>Module-level datasheet for the specific package on typical ESP32 Dev Module boards — antenna, module dimensions, and recommended PCB layout.</w:t>
      </w:r>
    </w:p>
    <w:p>
      <w:pPr>
        <w:spacing w:before="120" w:after="160"/>
        <w:ind w:left="461"/>
      </w:pPr>
      <w:r>
        <w:rPr>
          <w:b/>
          <w:sz w:val="19"/>
        </w:rPr>
        <w:t xml:space="preserve">Design note worth citing [7]: </w:t>
      </w:r>
      <w:r>
        <w:rPr>
          <w:sz w:val="19"/>
        </w:rPr>
        <w:t>GPIO 34–39 are input-only and have no internal pull-up/pull-down, so they are not used. The photoelectric sensor reaches the ESP32 through the normally-open contact of a relay on GPIO 14 (PIN_COUNT_SS = 14), where the firmware enables the internal pull-up (INPUT_PULLUP); the contact only has to pull the pin to ground, so no external pull-up resistor is required.</w:t>
      </w:r>
    </w:p>
    <w:p>
      <w:pPr>
        <w:spacing w:before="160" w:after="40"/>
        <w:ind w:left="461" w:hanging="461"/>
      </w:pPr>
      <w:r>
        <w:rPr>
          <w:b/>
        </w:rPr>
        <w:t xml:space="preserve">[9] </w:t>
      </w:r>
      <w:r>
        <w:rPr>
          <w:b/>
        </w:rPr>
        <w:t>Espressif Systems, “ESP-IDF Programming Guide — Hardware Reference (ESP32).”</w:t>
      </w:r>
    </w:p>
    <w:p>
      <w:pPr>
        <w:spacing w:after="20" w:before="0"/>
        <w:ind w:left="461"/>
      </w:pPr>
      <w:hyperlink r:id="rId17">
        <w:r>
          <w:rPr>
            <w:color w:val="1155CC"/>
            <w:u w:val="single"/>
            <w:sz w:val="18"/>
          </w:rPr>
          <w:t>https://docs.espressif.com/projects/esp-idf/en/stable/esp32/hw-reference/index.html</w:t>
        </w:r>
      </w:hyperlink>
    </w:p>
    <w:p>
      <w:pPr>
        <w:spacing w:before="60" w:after="80"/>
        <w:ind w:left="461"/>
      </w:pPr>
      <w:r>
        <w:rPr>
          <w:color w:val="404040"/>
          <w:sz w:val="19"/>
        </w:rPr>
        <w:t>Maintained hardware-reference index and the canonical entry point to current Espressif documentation.</w:t>
      </w:r>
    </w:p>
    <w:p>
      <w:pPr>
        <w:pStyle w:val="Heading2"/>
      </w:pPr>
      <w:r>
        <w:t>2.2 Photoelectric Sensor (parcel counting and box-full detection)</w:t>
      </w:r>
    </w:p>
    <w:p>
      <w:pPr>
        <w:spacing w:before="160" w:after="40"/>
        <w:ind w:left="461" w:hanging="461"/>
      </w:pPr>
      <w:r>
        <w:rPr>
          <w:b/>
        </w:rPr>
        <w:t xml:space="preserve">[10] </w:t>
      </w:r>
      <w:r>
        <w:rPr>
          <w:b/>
        </w:rPr>
        <w:t>OMRON Corporation, “E3F2 Photoelectric Sensor — Datasheet.”</w:t>
      </w:r>
    </w:p>
    <w:p>
      <w:pPr>
        <w:spacing w:after="20" w:before="0"/>
        <w:ind w:left="461"/>
      </w:pPr>
      <w:hyperlink r:id="rId18">
        <w:r>
          <w:rPr>
            <w:color w:val="1155CC"/>
            <w:u w:val="single"/>
            <w:sz w:val="18"/>
          </w:rPr>
          <w:t>https://www.omron-pro.ru/doc/sensor/photo/e3f2.PDF</w:t>
        </w:r>
      </w:hyperlink>
    </w:p>
    <w:p>
      <w:pPr>
        <w:spacing w:before="60" w:after="80"/>
        <w:ind w:left="461"/>
      </w:pPr>
      <w:r>
        <w:rPr>
          <w:color w:val="404040"/>
          <w:sz w:val="19"/>
        </w:rPr>
        <w:t>Datasheet of a comparable general-purpose photoelectric sensor family, cited for the operating principle, output ratings, supply range, sensing distance and response time of this class of sensor. The sensor installed in the box is an OPTEX ZD-70P (diffuse-reflective; label: DC 10–30 V, output 0.1 A max.), powered from its own 9 V adaptor; its output drives a relay whose normally-open contact signals the ESP32, so the sensor supply never reaches the 3.3 V input.</w:t>
      </w:r>
    </w:p>
    <w:p>
      <w:pPr>
        <w:spacing w:before="160" w:after="40"/>
        <w:ind w:left="461" w:hanging="461"/>
      </w:pPr>
      <w:r>
        <w:rPr>
          <w:b/>
        </w:rPr>
        <w:t xml:space="preserve">[11] </w:t>
      </w:r>
      <w:r>
        <w:rPr>
          <w:b/>
        </w:rPr>
        <w:t>OMRON Industrial Automation, “E3F3 Photoelectric Sensor — Specifications.”</w:t>
      </w:r>
    </w:p>
    <w:p>
      <w:pPr>
        <w:spacing w:after="20" w:before="0"/>
        <w:ind w:left="461"/>
      </w:pPr>
      <w:hyperlink r:id="rId19">
        <w:r>
          <w:rPr>
            <w:color w:val="1155CC"/>
            <w:u w:val="single"/>
            <w:sz w:val="18"/>
          </w:rPr>
          <w:t>https://www.ia.omron.com/products/family/3130/specification.html</w:t>
        </w:r>
      </w:hyperlink>
    </w:p>
    <w:p>
      <w:pPr>
        <w:spacing w:before="60" w:after="80"/>
        <w:ind w:left="461"/>
      </w:pPr>
      <w:r>
        <w:rPr>
          <w:color w:val="404040"/>
          <w:sz w:val="19"/>
        </w:rPr>
        <w:t>Manufacturer specification page for a comparable photoelectric sensor family (Photo-IC, built-in amplifier, high noise immunity). Useful as an accessible, live manufacturer citation for typical ratings of this class of sensor.</w:t>
      </w:r>
    </w:p>
    <w:p>
      <w:pPr>
        <w:spacing w:before="160" w:after="40"/>
        <w:ind w:left="461" w:hanging="461"/>
      </w:pPr>
      <w:r>
        <w:rPr>
          <w:b/>
        </w:rPr>
        <w:t xml:space="preserve">[12] </w:t>
      </w:r>
      <w:r>
        <w:rPr>
          <w:b/>
        </w:rPr>
        <w:t>OMRON Corporation, “E3Z-F Compact Photoelectric Sensor with Built-in Amplifier — Datasheet.”</w:t>
      </w:r>
    </w:p>
    <w:p>
      <w:pPr>
        <w:spacing w:after="20" w:before="0"/>
        <w:ind w:left="461"/>
      </w:pPr>
      <w:hyperlink r:id="rId20">
        <w:r>
          <w:rPr>
            <w:color w:val="1155CC"/>
            <w:u w:val="single"/>
            <w:sz w:val="18"/>
          </w:rPr>
          <w:t>https://files.omron.eu/downloads/latest/datasheet/en/e76i_e3z-f_compact_photoelectric_sensor_with_built-in_amplifier_datasheet_en.pdf</w:t>
        </w:r>
      </w:hyperlink>
    </w:p>
    <w:p>
      <w:pPr>
        <w:spacing w:before="60" w:after="80"/>
        <w:ind w:left="461"/>
      </w:pPr>
      <w:r>
        <w:rPr>
          <w:color w:val="404040"/>
          <w:sz w:val="19"/>
        </w:rPr>
        <w:t>Comparative reference for photoelectric sensing modes (through-beam, retroreflective, diffuse-reflective) and their trade-offs — supports the justification for the chosen sensing mode of the single sensor that both counts parcels and detects a full box.</w:t>
      </w:r>
    </w:p>
    <w:p>
      <w:pPr>
        <w:pStyle w:val="Heading2"/>
      </w:pPr>
      <w:r>
        <w:t>2.3 Limit Switches &amp; Push Switches (Door detection, Reset)</w:t>
      </w:r>
    </w:p>
    <w:p>
      <w:pPr>
        <w:spacing w:before="160" w:after="40"/>
        <w:ind w:left="461" w:hanging="461"/>
      </w:pPr>
      <w:r>
        <w:rPr>
          <w:b/>
        </w:rPr>
        <w:t xml:space="preserve">[13] </w:t>
      </w:r>
      <w:r>
        <w:rPr>
          <w:b/>
        </w:rPr>
        <w:t>J. Ganssle, “A Guide to Debouncing” (Parts 1 &amp; 2), The Ganssle Group.</w:t>
      </w:r>
    </w:p>
    <w:p>
      <w:pPr>
        <w:spacing w:after="20" w:before="0"/>
        <w:ind w:left="461"/>
      </w:pPr>
      <w:hyperlink r:id="rId21">
        <w:r>
          <w:rPr>
            <w:color w:val="1155CC"/>
            <w:u w:val="single"/>
            <w:sz w:val="18"/>
          </w:rPr>
          <w:t>https://www.ganssle.com/debouncing.htm</w:t>
        </w:r>
      </w:hyperlink>
    </w:p>
    <w:p>
      <w:pPr>
        <w:spacing w:after="20" w:before="0"/>
        <w:ind w:left="461"/>
      </w:pPr>
      <w:hyperlink r:id="rId22">
        <w:r>
          <w:rPr>
            <w:color w:val="1155CC"/>
            <w:u w:val="single"/>
            <w:sz w:val="18"/>
          </w:rPr>
          <w:t>https://www.ganssle.com/debouncing-pt2.htm</w:t>
        </w:r>
      </w:hyperlink>
    </w:p>
    <w:p>
      <w:pPr>
        <w:spacing w:before="60" w:after="80"/>
        <w:ind w:left="461"/>
      </w:pPr>
      <w:r>
        <w:rPr>
          <w:color w:val="404040"/>
          <w:sz w:val="19"/>
        </w:rPr>
        <w:t>The standard engineering reference on contact bounce, containing measured bounce durations for real mechanical switches plus both hardware (RC) and software debounce implementations. This is the citation that justifies the 50 ms debounce on the reset push button, the 1 s re-arm time of the photoelectric sensor (DEBOUNCE_MS = 1000), and the edge-detection logic in the firmware.</w:t>
      </w:r>
    </w:p>
    <w:p>
      <w:pPr>
        <w:spacing w:before="160" w:after="40"/>
        <w:ind w:left="461" w:hanging="461"/>
      </w:pPr>
      <w:r>
        <w:rPr>
          <w:b/>
        </w:rPr>
        <w:t xml:space="preserve">[14] </w:t>
      </w:r>
      <w:r>
        <w:rPr>
          <w:b/>
        </w:rPr>
        <w:t>J. Ganssle, “Solving Switch Bounce Problems,”</w:t>
      </w:r>
      <w:r>
        <w:t xml:space="preserve"> Embedded.com.</w:t>
      </w:r>
    </w:p>
    <w:p>
      <w:pPr>
        <w:spacing w:after="20" w:before="0"/>
        <w:ind w:left="461"/>
      </w:pPr>
      <w:hyperlink r:id="rId23">
        <w:r>
          <w:rPr>
            <w:color w:val="1155CC"/>
            <w:u w:val="single"/>
            <w:sz w:val="18"/>
          </w:rPr>
          <w:t>https://www.embedded.com/solving-switch-bounce-problems/</w:t>
        </w:r>
      </w:hyperlink>
    </w:p>
    <w:p>
      <w:pPr>
        <w:spacing w:before="60" w:after="80"/>
        <w:ind w:left="461"/>
      </w:pPr>
      <w:r>
        <w:rPr>
          <w:color w:val="404040"/>
          <w:sz w:val="19"/>
        </w:rPr>
        <w:t>Published trade-press version of the same empirical work; convenient short citation.</w:t>
      </w:r>
    </w:p>
    <w:p>
      <w:pPr>
        <w:pStyle w:val="Heading1"/>
      </w:pPr>
      <w:r>
        <w:t>3. Backend, Dashboard &amp; Data</w:t>
      </w:r>
    </w:p>
    <w:p>
      <w:pPr>
        <w:spacing w:before="160" w:after="40"/>
        <w:ind w:left="461" w:hanging="461"/>
      </w:pPr>
      <w:r>
        <w:rPr>
          <w:b/>
        </w:rPr>
        <w:t xml:space="preserve">[15] </w:t>
      </w:r>
      <w:r>
        <w:rPr>
          <w:b/>
        </w:rPr>
        <w:t>Google, “Firebase Realtime Database — REST API: Installation &amp; Setup.”</w:t>
      </w:r>
    </w:p>
    <w:p>
      <w:pPr>
        <w:spacing w:after="20" w:before="0"/>
        <w:ind w:left="461"/>
      </w:pPr>
      <w:hyperlink r:id="rId25">
        <w:r>
          <w:rPr>
            <w:color w:val="1155CC"/>
            <w:u w:val="single"/>
            <w:sz w:val="18"/>
          </w:rPr>
          <w:t>https://firebase.google.com/docs/database/rest/start</w:t>
        </w:r>
      </w:hyperlink>
    </w:p>
    <w:p>
      <w:pPr>
        <w:spacing w:before="60" w:after="80"/>
        <w:ind w:left="461"/>
      </w:pPr>
      <w:r>
        <w:rPr>
          <w:color w:val="404040"/>
          <w:sz w:val="19"/>
        </w:rPr>
        <w:t>Normative description of the REST interface the firmware uses: any database path becomes an endpoint by appending .json, with PUT/PATCH/GET over HTTPS. Direct source for the device-to-cloud write path.</w:t>
      </w:r>
    </w:p>
    <w:p>
      <w:pPr>
        <w:spacing w:before="160" w:after="40"/>
        <w:ind w:left="461" w:hanging="461"/>
      </w:pPr>
      <w:r>
        <w:rPr>
          <w:b/>
        </w:rPr>
        <w:t xml:space="preserve">[16] </w:t>
      </w:r>
      <w:r>
        <w:rPr>
          <w:b/>
        </w:rPr>
        <w:t>Google, “Firebase Realtime Database — Authenticate REST Requests.”</w:t>
      </w:r>
    </w:p>
    <w:p>
      <w:pPr>
        <w:spacing w:after="20" w:before="0"/>
        <w:ind w:left="461"/>
      </w:pPr>
      <w:hyperlink r:id="rId26">
        <w:r>
          <w:rPr>
            <w:color w:val="1155CC"/>
            <w:u w:val="single"/>
            <w:sz w:val="18"/>
          </w:rPr>
          <w:t>https://firebase.google.com/docs/database/rest/auth</w:t>
        </w:r>
      </w:hyperlink>
    </w:p>
    <w:p>
      <w:pPr>
        <w:spacing w:before="60" w:after="80"/>
        <w:ind w:left="461"/>
      </w:pPr>
      <w:r>
        <w:rPr>
          <w:color w:val="404040"/>
          <w:sz w:val="19"/>
        </w:rPr>
        <w:t>Covers authenticating REST calls via a Firebase ID token (auth=&lt;ID_TOKEN&gt;) or a service-account OAuth 2.0 access token. Cite in the security section — this is the documented path away from open/test database rules.</w:t>
      </w:r>
    </w:p>
    <w:p>
      <w:pPr>
        <w:spacing w:before="160" w:after="40"/>
        <w:ind w:left="461" w:hanging="461"/>
      </w:pPr>
      <w:r>
        <w:rPr>
          <w:b/>
        </w:rPr>
        <w:t xml:space="preserve">[17] </w:t>
      </w:r>
      <w:r>
        <w:rPr>
          <w:b/>
        </w:rPr>
        <w:t>Google, “Firebase Realtime Database — Retrieving Data.”</w:t>
      </w:r>
    </w:p>
    <w:p>
      <w:pPr>
        <w:spacing w:after="20" w:before="0"/>
        <w:ind w:left="461"/>
      </w:pPr>
      <w:hyperlink r:id="rId27">
        <w:r>
          <w:rPr>
            <w:color w:val="1155CC"/>
            <w:u w:val="single"/>
            <w:sz w:val="18"/>
          </w:rPr>
          <w:t>https://firebase.google.com/docs/database/rest/retrieve-data</w:t>
        </w:r>
      </w:hyperlink>
    </w:p>
    <w:p>
      <w:pPr>
        <w:spacing w:before="60" w:after="80"/>
        <w:ind w:left="461"/>
      </w:pPr>
      <w:r>
        <w:rPr>
          <w:color w:val="404040"/>
          <w:sz w:val="19"/>
        </w:rPr>
        <w:t>Documents REST reads and the EventSource / Server-Sent Events streaming protocol (Accept: text/event-stream), the mechanism underlying the dashboard live status and parcel-count updates.</w:t>
      </w:r>
    </w:p>
    <w:p>
      <w:pPr>
        <w:spacing w:before="160" w:after="40"/>
        <w:ind w:left="461" w:hanging="461"/>
      </w:pPr>
      <w:r>
        <w:rPr>
          <w:b/>
        </w:rPr>
        <w:t xml:space="preserve">[18] </w:t>
      </w:r>
      <w:r>
        <w:rPr>
          <w:b/>
        </w:rPr>
        <w:t>Google, “Firebase Realtime Database — Documentation (overview).”</w:t>
      </w:r>
    </w:p>
    <w:p>
      <w:pPr>
        <w:spacing w:after="20" w:before="0"/>
        <w:ind w:left="461"/>
      </w:pPr>
      <w:hyperlink r:id="rId28">
        <w:r>
          <w:rPr>
            <w:color w:val="1155CC"/>
            <w:u w:val="single"/>
            <w:sz w:val="18"/>
          </w:rPr>
          <w:t>https://firebase.google.com/docs/database</w:t>
        </w:r>
      </w:hyperlink>
    </w:p>
    <w:p>
      <w:pPr>
        <w:spacing w:before="60" w:after="80"/>
        <w:ind w:left="461"/>
      </w:pPr>
      <w:r>
        <w:rPr>
          <w:color w:val="404040"/>
          <w:sz w:val="19"/>
        </w:rPr>
        <w:t>Data model (JSON tree), scaling characteristics, and Security Rules overview; supports the justification for choosing RTDB over a relational store for this low-volume, real-time telemetry workload.</w:t>
      </w:r>
    </w:p>
    <w:p>
      <w:pPr>
        <w:spacing w:before="160" w:after="40"/>
        <w:ind w:left="461" w:hanging="461"/>
      </w:pPr>
      <w:r>
        <w:rPr>
          <w:b/>
        </w:rPr>
        <w:t xml:space="preserve">[19] </w:t>
      </w:r>
      <w:r>
        <w:rPr>
          <w:b/>
        </w:rPr>
        <w:t>B. Blanchon, “ArduinoJson — Official Documentation,”</w:t>
      </w:r>
      <w:r>
        <w:t xml:space="preserve"> v7.</w:t>
      </w:r>
    </w:p>
    <w:p>
      <w:pPr>
        <w:spacing w:after="20" w:before="0"/>
        <w:ind w:left="461"/>
      </w:pPr>
      <w:hyperlink r:id="rId29">
        <w:r>
          <w:rPr>
            <w:color w:val="1155CC"/>
            <w:u w:val="single"/>
            <w:sz w:val="18"/>
          </w:rPr>
          <w:t>https://arduinojson.org/v7/doc/</w:t>
        </w:r>
      </w:hyperlink>
    </w:p>
    <w:p>
      <w:pPr>
        <w:spacing w:before="60" w:after="80"/>
        <w:ind w:left="461"/>
      </w:pPr>
      <w:r>
        <w:rPr>
          <w:color w:val="404040"/>
          <w:sz w:val="19"/>
        </w:rPr>
        <w:t>API and memory-model reference for the JsonDocument used to build the Telegram and Firebase payloads; the “Memory model” chapter is the citation for heap-usage discussion on a constrained MCU.</w:t>
      </w:r>
    </w:p>
    <w:p>
      <w:pPr>
        <w:spacing w:before="160" w:after="40"/>
        <w:ind w:left="461" w:hanging="461"/>
      </w:pPr>
      <w:r>
        <w:rPr>
          <w:b/>
        </w:rPr>
        <w:t xml:space="preserve">[20] </w:t>
      </w:r>
      <w:r>
        <w:rPr>
          <w:b/>
        </w:rPr>
        <w:t>IETF, RFC 8259 — “The JavaScript Object Notation (JSON) Data Interchange Format,”</w:t>
      </w:r>
      <w:r>
        <w:t xml:space="preserve"> T. Bray, Dec. 2017.</w:t>
      </w:r>
    </w:p>
    <w:p>
      <w:pPr>
        <w:spacing w:after="20" w:before="0"/>
        <w:ind w:left="461"/>
      </w:pPr>
      <w:hyperlink r:id="rId30">
        <w:r>
          <w:rPr>
            <w:color w:val="1155CC"/>
            <w:u w:val="single"/>
            <w:sz w:val="18"/>
          </w:rPr>
          <w:t>https://www.rfc-editor.org/rfc/rfc8259</w:t>
        </w:r>
      </w:hyperlink>
    </w:p>
    <w:p>
      <w:pPr>
        <w:spacing w:before="60" w:after="80"/>
        <w:ind w:left="461"/>
      </w:pPr>
      <w:r>
        <w:rPr>
          <w:color w:val="404040"/>
          <w:sz w:val="19"/>
        </w:rPr>
        <w:t>The normative definition of the JSON wire format used on both the Telegram and Firebase interfaces.</w:t>
      </w:r>
    </w:p>
    <w:p>
      <w:pPr>
        <w:spacing w:before="160" w:after="40"/>
        <w:ind w:left="461" w:hanging="461"/>
      </w:pPr>
      <w:r>
        <w:rPr>
          <w:b/>
        </w:rPr>
        <w:t xml:space="preserve">[21] </w:t>
      </w:r>
      <w:r>
        <w:rPr>
          <w:b/>
        </w:rPr>
        <w:t>IETF, RFC 9110 — “HTTP Semantics,”</w:t>
      </w:r>
      <w:r>
        <w:t xml:space="preserve"> R. Fielding, M. Nottingham, J. Reschke, Jun. 2022.</w:t>
      </w:r>
    </w:p>
    <w:p>
      <w:pPr>
        <w:spacing w:after="20" w:before="0"/>
        <w:ind w:left="461"/>
      </w:pPr>
      <w:hyperlink r:id="rId31">
        <w:r>
          <w:rPr>
            <w:color w:val="1155CC"/>
            <w:u w:val="single"/>
            <w:sz w:val="18"/>
          </w:rPr>
          <w:t>https://www.rfc-editor.org/rfc/rfc9110</w:t>
        </w:r>
      </w:hyperlink>
    </w:p>
    <w:p>
      <w:pPr>
        <w:spacing w:before="60" w:after="80"/>
        <w:ind w:left="461"/>
      </w:pPr>
      <w:r>
        <w:rPr>
          <w:color w:val="404040"/>
          <w:sz w:val="19"/>
        </w:rPr>
        <w:t>Current normative HTTP specification — method semantics (GET/PUT/PATCH/POST) and status codes (including 429 Too Many Requests, relevant to [2]).</w:t>
      </w:r>
    </w:p>
    <w:p>
      <w:pPr>
        <w:pStyle w:val="Heading1"/>
      </w:pPr>
      <w:r>
        <w:t>4. Standards, Architecture &amp; Security</w:t>
      </w:r>
    </w:p>
    <w:p>
      <w:pPr>
        <w:spacing w:before="160" w:after="40"/>
        <w:ind w:left="461" w:hanging="461"/>
      </w:pPr>
      <w:r>
        <w:rPr>
          <w:b/>
        </w:rPr>
        <w:t xml:space="preserve">[22] </w:t>
      </w:r>
      <w:r>
        <w:rPr>
          <w:b/>
        </w:rPr>
        <w:t>ITU-T Recommendation Y.4000/Y.2060, “Overview of the Internet of Things,”</w:t>
      </w:r>
      <w:r>
        <w:t xml:space="preserve"> Jun. 2012.</w:t>
      </w:r>
    </w:p>
    <w:p>
      <w:pPr>
        <w:spacing w:after="20" w:before="0"/>
        <w:ind w:left="461"/>
      </w:pPr>
      <w:hyperlink r:id="rId32">
        <w:r>
          <w:rPr>
            <w:color w:val="1155CC"/>
            <w:u w:val="single"/>
            <w:sz w:val="18"/>
          </w:rPr>
          <w:t>https://www.itu.int/rec/T-REC-Y.2060-201206-I</w:t>
        </w:r>
      </w:hyperlink>
    </w:p>
    <w:p>
      <w:pPr>
        <w:spacing w:before="60" w:after="80"/>
        <w:ind w:left="461"/>
      </w:pPr>
      <w:r>
        <w:rPr>
          <w:color w:val="404040"/>
          <w:sz w:val="19"/>
        </w:rPr>
        <w:t>The internationally recognised definition of IoT — “a global infrastructure for the information society, enabling advanced services by interconnecting (physical and virtual) things” — plus the IoT reference model (device, network, service support, application layers). Use this to frame the system architecture chapter: sensors/ESP32 = device layer, Wi-Fi/HTTPS = network layer, Firebase = service support layer, Telegram + dashboard = application layer.</w:t>
      </w:r>
    </w:p>
    <w:p>
      <w:pPr>
        <w:spacing w:before="160" w:after="40"/>
        <w:ind w:left="461" w:hanging="461"/>
      </w:pPr>
      <w:r>
        <w:rPr>
          <w:b/>
        </w:rPr>
        <w:t xml:space="preserve">[23] </w:t>
      </w:r>
      <w:r>
        <w:rPr>
          <w:b/>
        </w:rPr>
        <w:t>M. Fagan, K. N. Megas, K. Scarfone, and M. Smith, “IoT Device Cybersecurity Capability Core Baseline,”</w:t>
      </w:r>
      <w:r>
        <w:t xml:space="preserve"> NISTIR 8259A, NIST, May 2020.</w:t>
      </w:r>
    </w:p>
    <w:p>
      <w:pPr>
        <w:spacing w:after="20" w:before="0"/>
        <w:ind w:left="461"/>
      </w:pPr>
      <w:hyperlink r:id="rId33">
        <w:r>
          <w:rPr>
            <w:color w:val="1155CC"/>
            <w:u w:val="single"/>
            <w:sz w:val="18"/>
          </w:rPr>
          <w:t>https://nvlpubs.nist.gov/nistpubs/ir/2020/NIST.IR.8259a.pdf</w:t>
        </w:r>
      </w:hyperlink>
    </w:p>
    <w:p>
      <w:pPr>
        <w:spacing w:before="60" w:after="80"/>
        <w:ind w:left="461"/>
      </w:pPr>
      <w:r>
        <w:rPr>
          <w:color w:val="404040"/>
          <w:sz w:val="19"/>
        </w:rPr>
        <w:t>Defines the six baseline device capabilities — device identification, device configuration, data protection, logical access to interfaces, software update, and cybersecurity state awareness. The standard checklist for the security-analysis and future-work sections (e.g. credentials in config.h, secure OTA update, and the setInsecure() limitation).</w:t>
      </w:r>
    </w:p>
    <w:p>
      <w:pPr>
        <w:spacing w:before="160" w:after="40"/>
        <w:ind w:left="461" w:hanging="461"/>
      </w:pPr>
      <w:r>
        <w:rPr>
          <w:b/>
        </w:rPr>
        <w:t xml:space="preserve">[24] </w:t>
      </w:r>
      <w:r>
        <w:rPr>
          <w:b/>
        </w:rPr>
        <w:t>NIST, “NISTIR 8259 Series — Foundational Cybersecurity Activities for IoT Device Manufacturers.”</w:t>
      </w:r>
    </w:p>
    <w:p>
      <w:pPr>
        <w:spacing w:after="20" w:before="0"/>
        <w:ind w:left="461"/>
      </w:pPr>
      <w:hyperlink r:id="rId34">
        <w:r>
          <w:rPr>
            <w:color w:val="1155CC"/>
            <w:u w:val="single"/>
            <w:sz w:val="18"/>
          </w:rPr>
          <w:t>https://www.nist.gov/itl/applied-cybersecurity/nist-cybersecurity-iot-program/nistir-8259-series</w:t>
        </w:r>
      </w:hyperlink>
    </w:p>
    <w:p>
      <w:pPr>
        <w:spacing w:before="60" w:after="80"/>
        <w:ind w:left="461"/>
      </w:pPr>
      <w:r>
        <w:rPr>
          <w:color w:val="404040"/>
          <w:sz w:val="19"/>
        </w:rPr>
        <w:t>Series landing page giving the pre-market/post-market activity context surrounding [23].</w:t>
      </w:r>
    </w:p>
    <w:p>
      <w:pPr>
        <w:pStyle w:val="Heading1"/>
      </w:pPr>
      <w:r>
        <w:t>5. Related Work (Smart Parcel / Mail Boxes)</w:t>
      </w:r>
    </w:p>
    <w:p>
      <w:pPr>
        <w:spacing w:before="160" w:after="40"/>
        <w:ind w:left="461" w:hanging="461"/>
      </w:pPr>
      <w:r>
        <w:rPr>
          <w:b/>
        </w:rPr>
        <w:t xml:space="preserve">[25] </w:t>
      </w:r>
      <w:r>
        <w:rPr>
          <w:b/>
        </w:rPr>
        <w:t>“Development of A Smart Box Prototype for Mail and Parcel Posts Using IoT and Solar Energy,”</w:t>
      </w:r>
      <w:r>
        <w:t xml:space="preserve"> in Proc. 2022 5th International Conference on Information and Communications Technology (ICOIACT), Yogyakarta, Indonesia, 2022, pp. 77–81. DOI: 10.1109/ICOIACT55506.2022.9972195</w:t>
      </w:r>
    </w:p>
    <w:p>
      <w:pPr>
        <w:spacing w:after="20" w:before="0"/>
        <w:ind w:left="461"/>
      </w:pPr>
      <w:hyperlink r:id="rId35">
        <w:r>
          <w:rPr>
            <w:color w:val="1155CC"/>
            <w:u w:val="single"/>
            <w:sz w:val="18"/>
          </w:rPr>
          <w:t>https://ieeexplore.ieee.org/document/9972195/</w:t>
        </w:r>
      </w:hyperlink>
    </w:p>
    <w:p>
      <w:pPr>
        <w:spacing w:before="60" w:after="80"/>
        <w:ind w:left="461"/>
      </w:pPr>
      <w:r>
        <w:rPr>
          <w:color w:val="404040"/>
          <w:sz w:val="19"/>
        </w:rPr>
        <w:t>The closest IEEE-indexed precedent. A smart box that receives postal parcels and pushes an arrival notification to the recipient phone (via LINE Notify), with a reported average performance of 96%. Excellent comparison baseline: same problem, different notification channel — supports the choice of Telegram (free, open Bot API, no per-message quota at this scale).</w:t>
      </w:r>
    </w:p>
    <w:p>
      <w:pPr>
        <w:spacing w:before="160" w:after="40"/>
        <w:ind w:left="461" w:hanging="461"/>
      </w:pPr>
      <w:r>
        <w:rPr>
          <w:b/>
        </w:rPr>
        <w:t xml:space="preserve">[26] </w:t>
      </w:r>
      <w:r>
        <w:rPr>
          <w:b/>
        </w:rPr>
        <w:t>“IoT-Based Smart Locker: Innovation in Automatic Package Reception,”</w:t>
      </w:r>
      <w:r>
        <w:t xml:space="preserve"> TELKA — Telekomunikasi, Elektronika, Komputasi dan Kontrol, vol. 12, no. 1, pp. 17–22.</w:t>
      </w:r>
    </w:p>
    <w:p>
      <w:pPr>
        <w:spacing w:after="20" w:before="0"/>
        <w:ind w:left="461"/>
      </w:pPr>
      <w:hyperlink r:id="rId36">
        <w:r>
          <w:rPr>
            <w:color w:val="1155CC"/>
            <w:u w:val="single"/>
            <w:sz w:val="18"/>
          </w:rPr>
          <w:t>https://telka.ee.uinsgd.ac.id/TELKA/article/download/telka.v12n1.17-22/telka.v12n1.17-22_pdf/3075</w:t>
        </w:r>
      </w:hyperlink>
    </w:p>
    <w:p>
      <w:pPr>
        <w:spacing w:before="60" w:after="80"/>
        <w:ind w:left="461"/>
      </w:pPr>
      <w:r>
        <w:rPr>
          <w:color w:val="404040"/>
          <w:sz w:val="19"/>
        </w:rPr>
        <w:t>Peer-reviewed automatic package-reception locker; useful for comparing mechanical design and reception workflow.</w:t>
      </w:r>
    </w:p>
    <w:p>
      <w:pPr>
        <w:spacing w:before="160" w:after="40"/>
        <w:ind w:left="461" w:hanging="461"/>
      </w:pPr>
      <w:r>
        <w:rPr>
          <w:b/>
        </w:rPr>
        <w:t xml:space="preserve">[27] </w:t>
      </w:r>
      <w:r>
        <w:rPr>
          <w:b/>
        </w:rPr>
        <w:t>“IoT-Based Package Drop Box System Using Arduino Uno and ESP32-CAM,”</w:t>
      </w:r>
      <w:r>
        <w:t xml:space="preserve"> Jurnal Sistem Cerdas.</w:t>
      </w:r>
    </w:p>
    <w:p>
      <w:pPr>
        <w:spacing w:after="20" w:before="0"/>
        <w:ind w:left="461"/>
      </w:pPr>
      <w:hyperlink r:id="rId37">
        <w:r>
          <w:rPr>
            <w:color w:val="1155CC"/>
            <w:u w:val="single"/>
            <w:sz w:val="18"/>
          </w:rPr>
          <w:t>https://apic.id/jurnal/index.php/jsc/article/view/581</w:t>
        </w:r>
      </w:hyperlink>
    </w:p>
    <w:p>
      <w:pPr>
        <w:spacing w:before="60" w:after="80"/>
        <w:ind w:left="461"/>
      </w:pPr>
      <w:r>
        <w:rPr>
          <w:color w:val="404040"/>
          <w:sz w:val="19"/>
        </w:rPr>
        <w:t>ESP32 + Telegram package drop box using an ultrasonic sensor for arrival detection (~10 cm) and ESP32-CAM for security. Direct comparison point for the detection method: ultrasonic ranging vs. the photoelectric beam-break counting used in this project.</w:t>
      </w:r>
    </w:p>
    <w:p>
      <w:pPr>
        <w:spacing w:before="160" w:after="40"/>
        <w:ind w:left="461" w:hanging="461"/>
      </w:pPr>
      <w:r>
        <w:rPr>
          <w:b/>
        </w:rPr>
        <w:t xml:space="preserve">[28] </w:t>
      </w:r>
      <w:r>
        <w:rPr>
          <w:b/>
        </w:rPr>
        <w:t>“Design and implementation of an IoT-based automatic package box security system with vibration sensors and GSM notifications using ESP32,”</w:t>
      </w:r>
      <w:r>
        <w:t xml:space="preserve"> Jurnal Sains, Teknologi &amp; Komputer.</w:t>
      </w:r>
    </w:p>
    <w:p>
      <w:pPr>
        <w:spacing w:after="20" w:before="0"/>
        <w:ind w:left="461"/>
      </w:pPr>
      <w:hyperlink r:id="rId38">
        <w:r>
          <w:rPr>
            <w:color w:val="1155CC"/>
            <w:u w:val="single"/>
            <w:sz w:val="18"/>
          </w:rPr>
          <w:t>https://jurnal.larisma.or.id/index.php/SAINTEK/article/view/1630</w:t>
        </w:r>
      </w:hyperlink>
    </w:p>
    <w:p>
      <w:pPr>
        <w:spacing w:before="60" w:after="80"/>
        <w:ind w:left="461"/>
      </w:pPr>
      <w:r>
        <w:rPr>
          <w:color w:val="404040"/>
          <w:sz w:val="19"/>
        </w:rPr>
        <w:t>ESP32 parcel box with vibration-based anti-theft and GSM notification. Comparison point for notification transport (GSM/SMS vs. Wi-Fi/Internet) and for future anti-theft work.</w:t>
      </w:r>
    </w:p>
    <w:p>
      <w:pPr>
        <w:spacing w:before="160" w:after="40"/>
        <w:ind w:left="461" w:hanging="461"/>
      </w:pPr>
      <w:r>
        <w:rPr>
          <w:b/>
        </w:rPr>
        <w:t xml:space="preserve">[29] </w:t>
      </w:r>
      <w:r>
        <w:rPr>
          <w:b/>
        </w:rPr>
        <w:t>“Smart Parcel Delivery Receiving Box for Secure Parcel Drop-Off,”</w:t>
      </w:r>
      <w:r>
        <w:t xml:space="preserve"> International Journal of Research Publication and Reviews (IJRPR), vol. 6, no. 10.</w:t>
      </w:r>
    </w:p>
    <w:p>
      <w:pPr>
        <w:spacing w:after="20" w:before="0"/>
        <w:ind w:left="461"/>
      </w:pPr>
      <w:hyperlink r:id="rId39">
        <w:r>
          <w:rPr>
            <w:color w:val="1155CC"/>
            <w:u w:val="single"/>
            <w:sz w:val="18"/>
          </w:rPr>
          <w:t>https://ijrpr.com/uploads/V6ISSUE10/IJRPR54313.pdf</w:t>
        </w:r>
      </w:hyperlink>
    </w:p>
    <w:p>
      <w:pPr>
        <w:spacing w:before="60" w:after="80"/>
        <w:ind w:left="461"/>
      </w:pPr>
      <w:r>
        <w:rPr>
          <w:color w:val="404040"/>
          <w:sz w:val="19"/>
        </w:rPr>
        <w:t>Recent survey-style treatment of the secure parcel drop-off problem; useful for the introduction/problem-statement (e-commerce growth, porch theft, failed deliveries).</w:t>
      </w:r>
    </w:p>
    <w:p>
      <w:pPr>
        <w:spacing w:before="160" w:after="40"/>
        <w:ind w:left="461" w:hanging="461"/>
      </w:pPr>
      <w:r>
        <w:rPr>
          <w:b/>
        </w:rPr>
        <w:t xml:space="preserve">[30] </w:t>
      </w:r>
      <w:r>
        <w:rPr>
          <w:b/>
        </w:rPr>
        <w:t>“A Solar-Powered IoT Connected Physical Mailbox Interfaced with Smart Devices,”</w:t>
      </w:r>
      <w:r>
        <w:t xml:space="preserve"> IoT (MDPI), vol. 1, no. 1, art. 8.</w:t>
      </w:r>
    </w:p>
    <w:p>
      <w:pPr>
        <w:spacing w:after="20" w:before="0"/>
        <w:ind w:left="461"/>
      </w:pPr>
      <w:hyperlink r:id="rId40">
        <w:r>
          <w:rPr>
            <w:color w:val="1155CC"/>
            <w:u w:val="single"/>
            <w:sz w:val="18"/>
          </w:rPr>
          <w:t>https://www.mdpi.com/2624-831X/1/1/8</w:t>
        </w:r>
      </w:hyperlink>
    </w:p>
    <w:p>
      <w:pPr>
        <w:spacing w:before="60" w:after="80"/>
        <w:ind w:left="461"/>
      </w:pPr>
      <w:r>
        <w:rPr>
          <w:color w:val="404040"/>
          <w:sz w:val="19"/>
        </w:rPr>
        <w:t>Open-access MDPI paper on an IoT mailbox with smart-device integration — a citable, freely accessible reference for the mailbox-notification literature and a starting point for solar-powered future work.</w:t>
      </w:r>
    </w:p>
    <w:p>
      <w:r>
        <w:br w:type="page"/>
      </w:r>
    </w:p>
    <w:p>
      <w:pPr>
        <w:pStyle w:val="Heading1"/>
      </w:pPr>
      <w:r>
        <w:t>Mapping: Requirement → Reference</w:t>
      </w:r>
    </w:p>
    <w:tbl>
      <w:tblPr>
        <w:tblStyle w:val="LightGrid-Accent1"/>
        <w:tblW w:type="auto" w:w="0"/>
        <w:jc w:val="center"/>
        <w:tblLook w:firstColumn="1" w:firstRow="1" w:lastColumn="0" w:lastRow="0" w:noHBand="0" w:noVBand="1" w:val="04A0"/>
      </w:tblPr>
      <w:tblGrid>
        <w:gridCol w:w="4320"/>
        <w:gridCol w:w="4320"/>
      </w:tblGrid>
      <w:tr>
        <w:tc>
          <w:tcPr>
            <w:tcW w:type="dxa" w:w="5904"/>
          </w:tcPr>
          <w:p>
            <w:r/>
            <w:r>
              <w:rPr>
                <w:b/>
                <w:sz w:val="20"/>
              </w:rPr>
              <w:t>Project requirement</w:t>
            </w:r>
          </w:p>
        </w:tc>
        <w:tc>
          <w:tcPr>
            <w:tcW w:type="dxa" w:w="3312"/>
          </w:tcPr>
          <w:p>
            <w:r/>
            <w:r>
              <w:rPr>
                <w:b/>
                <w:sz w:val="20"/>
              </w:rPr>
              <w:t>References</w:t>
            </w:r>
          </w:p>
        </w:tc>
      </w:tr>
      <w:tr>
        <w:tc>
          <w:tcPr>
            <w:tcW w:type="dxa" w:w="5904"/>
          </w:tcPr>
          <w:p>
            <w:r/>
            <w:r>
              <w:rPr>
                <w:sz w:val="19"/>
              </w:rPr>
              <w:t>Notify phone when a parcel is delivered</w:t>
            </w:r>
          </w:p>
        </w:tc>
        <w:tc>
          <w:tcPr>
            <w:tcW w:type="dxa" w:w="3312"/>
          </w:tcPr>
          <w:p>
            <w:r/>
            <w:r>
              <w:rPr>
                <w:sz w:val="19"/>
              </w:rPr>
              <w:t>[1], [2], [4], [25]</w:t>
            </w:r>
          </w:p>
        </w:tc>
      </w:tr>
      <w:tr>
        <w:tc>
          <w:tcPr>
            <w:tcW w:type="dxa" w:w="5904"/>
          </w:tcPr>
          <w:p>
            <w:r/>
            <w:r>
              <w:rPr>
                <w:sz w:val="19"/>
              </w:rPr>
              <w:t>Notification throttling / cooldown design</w:t>
            </w:r>
          </w:p>
        </w:tc>
        <w:tc>
          <w:tcPr>
            <w:tcW w:type="dxa" w:w="3312"/>
          </w:tcPr>
          <w:p>
            <w:r/>
            <w:r>
              <w:rPr>
                <w:sz w:val="19"/>
              </w:rPr>
              <w:t>[2], [21]</w:t>
            </w:r>
          </w:p>
        </w:tc>
      </w:tr>
      <w:tr>
        <w:tc>
          <w:tcPr>
            <w:tcW w:type="dxa" w:w="5904"/>
          </w:tcPr>
          <w:p>
            <w:r/>
            <w:r>
              <w:rPr>
                <w:sz w:val="19"/>
              </w:rPr>
              <w:t>Photoelectric sensor (parcel counting &amp; box-full detection)</w:t>
            </w:r>
          </w:p>
        </w:tc>
        <w:tc>
          <w:tcPr>
            <w:tcW w:type="dxa" w:w="3312"/>
          </w:tcPr>
          <w:p>
            <w:r/>
            <w:r>
              <w:rPr>
                <w:sz w:val="19"/>
              </w:rPr>
              <w:t>[10], [11], [12]</w:t>
            </w:r>
          </w:p>
        </w:tc>
      </w:tr>
      <w:tr>
        <w:tc>
          <w:tcPr>
            <w:tcW w:type="dxa" w:w="5904"/>
          </w:tcPr>
          <w:p>
            <w:r/>
            <w:r>
              <w:rPr>
                <w:sz w:val="19"/>
              </w:rPr>
              <w:t>Limit switches (Input/Output doors), reset button</w:t>
            </w:r>
          </w:p>
        </w:tc>
        <w:tc>
          <w:tcPr>
            <w:tcW w:type="dxa" w:w="3312"/>
          </w:tcPr>
          <w:p>
            <w:r/>
            <w:r>
              <w:rPr>
                <w:sz w:val="19"/>
              </w:rPr>
              <w:t>[13], [14]</w:t>
            </w:r>
          </w:p>
        </w:tc>
      </w:tr>
      <w:tr>
        <w:tc>
          <w:tcPr>
            <w:tcW w:type="dxa" w:w="5904"/>
          </w:tcPr>
          <w:p>
            <w:r/>
            <w:r>
              <w:rPr>
                <w:sz w:val="19"/>
              </w:rPr>
              <w:t>Controller selection &amp; GPIO/pin constraints</w:t>
            </w:r>
          </w:p>
        </w:tc>
        <w:tc>
          <w:tcPr>
            <w:tcW w:type="dxa" w:w="3312"/>
          </w:tcPr>
          <w:p>
            <w:r/>
            <w:r>
              <w:rPr>
                <w:sz w:val="19"/>
              </w:rPr>
              <w:t>[6], [7], [8], [9]</w:t>
            </w:r>
          </w:p>
        </w:tc>
      </w:tr>
      <w:tr>
        <w:tc>
          <w:tcPr>
            <w:tcW w:type="dxa" w:w="5904"/>
          </w:tcPr>
          <w:p>
            <w:r/>
            <w:r>
              <w:rPr>
                <w:sz w:val="19"/>
              </w:rPr>
              <w:t>Non-volatile parcel count across power loss</w:t>
            </w:r>
          </w:p>
        </w:tc>
        <w:tc>
          <w:tcPr>
            <w:tcW w:type="dxa" w:w="3312"/>
          </w:tcPr>
          <w:p>
            <w:r/>
            <w:r>
              <w:rPr>
                <w:sz w:val="19"/>
              </w:rPr>
              <w:t>[7], [9]</w:t>
            </w:r>
          </w:p>
        </w:tc>
      </w:tr>
      <w:tr>
        <w:tc>
          <w:tcPr>
            <w:tcW w:type="dxa" w:w="5904"/>
          </w:tcPr>
          <w:p>
            <w:r/>
            <w:r>
              <w:rPr>
                <w:sz w:val="19"/>
              </w:rPr>
              <w:t>Power supply (220 V → 5 V adaptor for ESP32, 220 V → 9 V adaptor for sensor)</w:t>
            </w:r>
          </w:p>
        </w:tc>
        <w:tc>
          <w:tcPr>
            <w:tcW w:type="dxa" w:w="3312"/>
          </w:tcPr>
          <w:p>
            <w:r/>
            <w:r>
              <w:rPr>
                <w:sz w:val="19"/>
              </w:rPr>
              <w:t>[6], [10]</w:t>
            </w:r>
          </w:p>
        </w:tc>
      </w:tr>
      <w:tr>
        <w:tc>
          <w:tcPr>
            <w:tcW w:type="dxa" w:w="5904"/>
          </w:tcPr>
          <w:p>
            <w:r/>
            <w:r>
              <w:rPr>
                <w:sz w:val="19"/>
              </w:rPr>
              <w:t>Dashboard showing parcel count, box status and door status</w:t>
            </w:r>
          </w:p>
        </w:tc>
        <w:tc>
          <w:tcPr>
            <w:tcW w:type="dxa" w:w="3312"/>
          </w:tcPr>
          <w:p>
            <w:r/>
            <w:r>
              <w:rPr>
                <w:sz w:val="19"/>
              </w:rPr>
              <w:t>[15], [17], [18]</w:t>
            </w:r>
          </w:p>
        </w:tc>
      </w:tr>
      <w:tr>
        <w:tc>
          <w:tcPr>
            <w:tcW w:type="dxa" w:w="5904"/>
          </w:tcPr>
          <w:p>
            <w:r/>
            <w:r>
              <w:rPr>
                <w:sz w:val="19"/>
              </w:rPr>
              <w:t>Live dashboard updates</w:t>
            </w:r>
          </w:p>
        </w:tc>
        <w:tc>
          <w:tcPr>
            <w:tcW w:type="dxa" w:w="3312"/>
          </w:tcPr>
          <w:p>
            <w:r/>
            <w:r>
              <w:rPr>
                <w:sz w:val="19"/>
              </w:rPr>
              <w:t>[17]</w:t>
            </w:r>
          </w:p>
        </w:tc>
      </w:tr>
      <w:tr>
        <w:tc>
          <w:tcPr>
            <w:tcW w:type="dxa" w:w="5904"/>
          </w:tcPr>
          <w:p>
            <w:r/>
            <w:r>
              <w:rPr>
                <w:sz w:val="19"/>
              </w:rPr>
              <w:t>JSON payload construction on the MCU</w:t>
            </w:r>
          </w:p>
        </w:tc>
        <w:tc>
          <w:tcPr>
            <w:tcW w:type="dxa" w:w="3312"/>
          </w:tcPr>
          <w:p>
            <w:r/>
            <w:r>
              <w:rPr>
                <w:sz w:val="19"/>
              </w:rPr>
              <w:t>[19], [20]</w:t>
            </w:r>
          </w:p>
        </w:tc>
      </w:tr>
      <w:tr>
        <w:tc>
          <w:tcPr>
            <w:tcW w:type="dxa" w:w="5904"/>
          </w:tcPr>
          <w:p>
            <w:r/>
            <w:r>
              <w:rPr>
                <w:sz w:val="19"/>
              </w:rPr>
              <w:t>Overall IoT system architecture / layer model</w:t>
            </w:r>
          </w:p>
        </w:tc>
        <w:tc>
          <w:tcPr>
            <w:tcW w:type="dxa" w:w="3312"/>
          </w:tcPr>
          <w:p>
            <w:r/>
            <w:r>
              <w:rPr>
                <w:sz w:val="19"/>
              </w:rPr>
              <w:t>[22]</w:t>
            </w:r>
          </w:p>
        </w:tc>
      </w:tr>
      <w:tr>
        <w:tc>
          <w:tcPr>
            <w:tcW w:type="dxa" w:w="5904"/>
          </w:tcPr>
          <w:p>
            <w:r/>
            <w:r>
              <w:rPr>
                <w:sz w:val="19"/>
              </w:rPr>
              <w:t>Security analysis &amp; limitations</w:t>
            </w:r>
          </w:p>
        </w:tc>
        <w:tc>
          <w:tcPr>
            <w:tcW w:type="dxa" w:w="3312"/>
          </w:tcPr>
          <w:p>
            <w:r/>
            <w:r>
              <w:rPr>
                <w:sz w:val="19"/>
              </w:rPr>
              <w:t>[5], [16], [23], [24]</w:t>
            </w:r>
          </w:p>
        </w:tc>
      </w:tr>
      <w:tr>
        <w:tc>
          <w:tcPr>
            <w:tcW w:type="dxa" w:w="5904"/>
          </w:tcPr>
          <w:p>
            <w:r/>
            <w:r>
              <w:rPr>
                <w:sz w:val="19"/>
              </w:rPr>
              <w:t>Related work &amp; comparison</w:t>
            </w:r>
          </w:p>
        </w:tc>
        <w:tc>
          <w:tcPr>
            <w:tcW w:type="dxa" w:w="3312"/>
          </w:tcPr>
          <w:p>
            <w:r/>
            <w:r>
              <w:rPr>
                <w:sz w:val="19"/>
              </w:rPr>
              <w:t>[25], [26], [27], [28], [29], [30]</w:t>
            </w:r>
          </w:p>
        </w:tc>
      </w:tr>
    </w:tbl>
    <w:p/>
    <w:p>
      <w:pPr>
        <w:jc w:val="center"/>
      </w:pPr>
      <w:r>
        <w:rPr>
          <w:i/>
          <w:color w:val="707070"/>
          <w:sz w:val="18"/>
        </w:rPr>
        <w:t>All URLs verified accessible as of 7 September 2026.</w:t>
      </w:r>
    </w:p>
    <w:sectPr w:rsidR="00FC693F" w:rsidRPr="0006063C" w:rsidSect="00034616">
      <w:footerReference w:type="default" r:id="rId4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r>
      <w:t>/</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454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re.telegram.org/bots/api" TargetMode="External"/><Relationship Id="rId10" Type="http://schemas.openxmlformats.org/officeDocument/2006/relationships/hyperlink" Target="https://core.telegram.org/bots/faq" TargetMode="External"/><Relationship Id="rId11" Type="http://schemas.openxmlformats.org/officeDocument/2006/relationships/hyperlink" Target="https://core.telegram.org/bots/api-changelog" TargetMode="External"/><Relationship Id="rId12" Type="http://schemas.openxmlformats.org/officeDocument/2006/relationships/hyperlink" Target="https://ejaset.com/index.php/journal/article/view/524" TargetMode="External"/><Relationship Id="rId13" Type="http://schemas.openxmlformats.org/officeDocument/2006/relationships/hyperlink" Target="https://www.rfc-editor.org/rfc/rfc8446" TargetMode="External"/><Relationship Id="rId14" Type="http://schemas.openxmlformats.org/officeDocument/2006/relationships/hyperlink" Target="https://www.espressif.com/sites/default/files/documentation/esp32_datasheet_en.pdf" TargetMode="External"/><Relationship Id="rId15" Type="http://schemas.openxmlformats.org/officeDocument/2006/relationships/hyperlink" Target="https://www.espressif.com/sites/default/files/documentation/esp32_technical_reference_manual_en.pdf" TargetMode="External"/><Relationship Id="rId16" Type="http://schemas.openxmlformats.org/officeDocument/2006/relationships/hyperlink" Target="https://www.espressif.com/sites/default/files/documentation/esp32-wroom-32_datasheet_en.pdf" TargetMode="External"/><Relationship Id="rId17" Type="http://schemas.openxmlformats.org/officeDocument/2006/relationships/hyperlink" Target="https://docs.espressif.com/projects/esp-idf/en/stable/esp32/hw-reference/index.html" TargetMode="External"/><Relationship Id="rId18" Type="http://schemas.openxmlformats.org/officeDocument/2006/relationships/hyperlink" Target="https://www.omron-pro.ru/doc/sensor/photo/e3f2.PDF" TargetMode="External"/><Relationship Id="rId19" Type="http://schemas.openxmlformats.org/officeDocument/2006/relationships/hyperlink" Target="https://www.ia.omron.com/products/family/3130/specification.html" TargetMode="External"/><Relationship Id="rId20" Type="http://schemas.openxmlformats.org/officeDocument/2006/relationships/hyperlink" Target="https://files.omron.eu/downloads/latest/datasheet/en/e76i_e3z-f_compact_photoelectric_sensor_with_built-in_amplifier_datasheet_en.pdf" TargetMode="External"/><Relationship Id="rId21" Type="http://schemas.openxmlformats.org/officeDocument/2006/relationships/hyperlink" Target="https://www.ganssle.com/debouncing.htm" TargetMode="External"/><Relationship Id="rId22" Type="http://schemas.openxmlformats.org/officeDocument/2006/relationships/hyperlink" Target="https://www.ganssle.com/debouncing-pt2.htm" TargetMode="External"/><Relationship Id="rId23" Type="http://schemas.openxmlformats.org/officeDocument/2006/relationships/hyperlink" Target="https://www.embedded.com/solving-switch-bounce-problems/" TargetMode="External"/><Relationship Id="rId24" Type="http://schemas.openxmlformats.org/officeDocument/2006/relationships/hyperlink" Target="https://www.ti.com/lit/ds/symlink/lm2596.pdf" TargetMode="External"/><Relationship Id="rId25" Type="http://schemas.openxmlformats.org/officeDocument/2006/relationships/hyperlink" Target="https://firebase.google.com/docs/database/rest/start" TargetMode="External"/><Relationship Id="rId26" Type="http://schemas.openxmlformats.org/officeDocument/2006/relationships/hyperlink" Target="https://firebase.google.com/docs/database/rest/auth" TargetMode="External"/><Relationship Id="rId27" Type="http://schemas.openxmlformats.org/officeDocument/2006/relationships/hyperlink" Target="https://firebase.google.com/docs/database/rest/retrieve-data" TargetMode="External"/><Relationship Id="rId28" Type="http://schemas.openxmlformats.org/officeDocument/2006/relationships/hyperlink" Target="https://firebase.google.com/docs/database" TargetMode="External"/><Relationship Id="rId29" Type="http://schemas.openxmlformats.org/officeDocument/2006/relationships/hyperlink" Target="https://arduinojson.org/v7/doc/" TargetMode="External"/><Relationship Id="rId30" Type="http://schemas.openxmlformats.org/officeDocument/2006/relationships/hyperlink" Target="https://www.rfc-editor.org/rfc/rfc8259" TargetMode="External"/><Relationship Id="rId31" Type="http://schemas.openxmlformats.org/officeDocument/2006/relationships/hyperlink" Target="https://www.rfc-editor.org/rfc/rfc9110" TargetMode="External"/><Relationship Id="rId32" Type="http://schemas.openxmlformats.org/officeDocument/2006/relationships/hyperlink" Target="https://www.itu.int/rec/T-REC-Y.2060-201206-I" TargetMode="External"/><Relationship Id="rId33" Type="http://schemas.openxmlformats.org/officeDocument/2006/relationships/hyperlink" Target="https://nvlpubs.nist.gov/nistpubs/ir/2020/NIST.IR.8259a.pdf" TargetMode="External"/><Relationship Id="rId34" Type="http://schemas.openxmlformats.org/officeDocument/2006/relationships/hyperlink" Target="https://www.nist.gov/itl/applied-cybersecurity/nist-cybersecurity-iot-program/nistir-8259-series" TargetMode="External"/><Relationship Id="rId35" Type="http://schemas.openxmlformats.org/officeDocument/2006/relationships/hyperlink" Target="https://ieeexplore.ieee.org/document/9972195/" TargetMode="External"/><Relationship Id="rId36" Type="http://schemas.openxmlformats.org/officeDocument/2006/relationships/hyperlink" Target="https://telka.ee.uinsgd.ac.id/TELKA/article/download/telka.v12n1.17-22/telka.v12n1.17-22_pdf/3075" TargetMode="External"/><Relationship Id="rId37" Type="http://schemas.openxmlformats.org/officeDocument/2006/relationships/hyperlink" Target="https://apic.id/jurnal/index.php/jsc/article/view/581" TargetMode="External"/><Relationship Id="rId38" Type="http://schemas.openxmlformats.org/officeDocument/2006/relationships/hyperlink" Target="https://jurnal.larisma.or.id/index.php/SAINTEK/article/view/1630" TargetMode="External"/><Relationship Id="rId39" Type="http://schemas.openxmlformats.org/officeDocument/2006/relationships/hyperlink" Target="https://ijrpr.com/uploads/V6ISSUE10/IJRPR54313.pdf" TargetMode="External"/><Relationship Id="rId40" Type="http://schemas.openxmlformats.org/officeDocument/2006/relationships/hyperlink" Target="https://www.mdpi.com/2624-831X/1/1/8"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