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Digital Marketing Campaign Performance Analysis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MySQL  |  Dataset by SINDERPREET (Kaggle)  |  February 2021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Author: Kajornpong Jee-in  |  May 2026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analyses the performance of 11 digital marketing campaigns run across February 2021, spanning four channels: social media, influencer, display media, and search. The goal is to evaluate campaign efficiency, identify budget misalignment, and provide data-driven recommendations for future spend allocation.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analysis covers $30.6M in total marketing spend generating $42.9M in revenue, producing a 40.20% overall return on marketing investment (ROMI).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Import:</w:t>
      </w:r>
      <w:r>
        <w:rPr>
          <w:rFonts w:ascii="Arial" w:cs="Arial" w:eastAsia="Arial" w:hAnsi="Arial"/>
          <w:sz w:val="22"/>
          <w:szCs w:val="22"/>
        </w:rPr>
        <w:t xml:space="preserve"> Loaded raw CSV into MySQL using staged TEXT table then cast to clean typed table (DATE, BIGINT, DECIMAL).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Validation:</w:t>
      </w:r>
      <w:r>
        <w:rPr>
          <w:rFonts w:ascii="Arial" w:cs="Arial" w:eastAsia="Arial" w:hAnsi="Arial"/>
          <w:sz w:val="22"/>
          <w:szCs w:val="22"/>
        </w:rPr>
        <w:t xml:space="preserve"> Checked row counts, missing values, duplicates, logic integrity (clicks ≤ impressions, leads ≤ clicks, orders ≤ leads), and negative value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Exploratory Data Analysis:</w:t>
      </w:r>
      <w:r>
        <w:rPr>
          <w:rFonts w:ascii="Arial" w:cs="Arial" w:eastAsia="Arial" w:hAnsi="Arial"/>
          <w:sz w:val="22"/>
          <w:szCs w:val="22"/>
        </w:rPr>
        <w:t xml:space="preserve"> Analysed campaign and category performance across all funnel stages (impressions → clicks → leads → orders) by volume and conversion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Analysis:</w:t>
      </w:r>
      <w:r>
        <w:rPr>
          <w:rFonts w:ascii="Arial" w:cs="Arial" w:eastAsia="Arial" w:hAnsi="Arial"/>
          <w:sz w:val="22"/>
          <w:szCs w:val="22"/>
        </w:rPr>
        <w:t xml:space="preserve"> Calculated ROAS, ROMI, cost per order, budget allocation vs revenue share, time-based patterns, and geo tier performance.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Key Findings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 Campaign &amp; Category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 campaigns ran from 1–28 February 2021, grouped into 4 categories: social, influencer, media, and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</w:t>
      </w:r>
      <w:r>
        <w:rPr>
          <w:rFonts w:ascii="Arial" w:cs="Arial" w:eastAsia="Arial" w:hAnsi="Arial"/>
          <w:sz w:val="22"/>
          <w:szCs w:val="22"/>
        </w:rPr>
        <w:t xml:space="preserve"> reaches the widest audience at the impression stage. However, the influencer category wins at every stage that matters — it generates the most orders, the most revenue, the highest ROAS, and the lowest cost per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40.20%</w:t>
      </w:r>
      <w:r>
        <w:rPr>
          <w:rFonts w:ascii="Arial" w:cs="Arial" w:eastAsia="Arial" w:hAnsi="Arial"/>
          <w:sz w:val="22"/>
          <w:szCs w:val="22"/>
        </w:rPr>
        <w:t xml:space="preserve"> — producing $12.3M net profit on $30.6M in spend. However, this aggregate masks extreme variation between campaigns.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 Funnel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Imp→Click (CTR)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Click→Lead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Lead→Order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Conv.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Influencer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0.96%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2.26%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17.79%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0.00387%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0.46%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11.65%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2.42%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15.43%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0.42%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2.09%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8.40%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0.00073%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channel loses 99%+ of users at the impression-to-click stage — this is normal for digital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critical gap is at the lead-to-order stage.</w:t>
      </w:r>
      <w:r>
        <w:rPr>
          <w:rFonts w:ascii="Arial" w:cs="Arial" w:eastAsia="Arial" w:hAnsi="Arial"/>
          <w:sz w:val="22"/>
          <w:szCs w:val="22"/>
        </w:rPr>
        <w:t xml:space="preserve"> Social loses 91.6% of leads before converting to an order — nearly 10 percentage points worse than influencer (82.2%). Social generates the most leads but fails to convert them into buyers.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 Budget Allocation vs Revenue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Cost/Order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Influencer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27.2%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49.2%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2.54x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$2,756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+22.1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1.22x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$3,210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1.07x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$4,179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45.1%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27.8%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0.86x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$5,237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-17.3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is critically overfunded:</w:t>
      </w:r>
      <w:r>
        <w:rPr>
          <w:rFonts w:ascii="Arial" w:cs="Arial" w:eastAsia="Arial" w:hAnsi="Arial"/>
          <w:sz w:val="22"/>
          <w:szCs w:val="22"/>
        </w:rPr>
        <w:t xml:space="preserve"> it receives 45.1% of spend but generates only 27.8% of revenue — a 17.3 point gap. Its ROAS of 0.86x means it loses money on every dollar spent.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Influencer is critically underfunded:</w:t>
      </w:r>
      <w:r>
        <w:rPr>
          <w:rFonts w:ascii="Arial" w:cs="Arial" w:eastAsia="Arial" w:hAnsi="Arial"/>
          <w:sz w:val="22"/>
          <w:szCs w:val="22"/>
        </w:rPr>
        <w:t xml:space="preserve"> it receives 27.2% of spend but delivers 49.2% of revenue — a 22.1 point gap, the largest positive imbalance of any category.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 Campaign-Level ROMI — Stars vs Value Destroyers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950"/>
        <w:gridCol w:w="195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youtube_blogger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Influencer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3.77x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+277.3%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facebook_retargeting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Social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2.01x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+100.9%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google_hot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Search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1.80x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+80.2%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instagram_blogger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Influencer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1.37x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+36.9%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instagram_tier1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Social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1.77x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+77.3%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banner_partner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Media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1.22x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+22.4%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facebook_tier1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Social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0.94x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-5.8%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instagram_tier2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0.74x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-26.3%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facebOOK_tier2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0.74x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-26.0%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google_wide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0.66x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-34.1%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facebook_lal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0.11x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-88.6%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3.5 Time-Based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Feb 20</w:t>
      </w:r>
      <w:r>
        <w:rPr>
          <w:rFonts w:ascii="Arial" w:cs="Arial" w:eastAsia="Arial" w:hAnsi="Arial"/>
          <w:sz w:val="22"/>
          <w:szCs w:val="22"/>
        </w:rPr>
        <w:t xml:space="preserve"> recorded the highest spend ($3.5M) and highest revenue ($5.3M) of the month — a strong positive relationship between ad spend and same-day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Friday</w:t>
      </w:r>
      <w:r>
        <w:rPr>
          <w:rFonts w:ascii="Arial" w:cs="Arial" w:eastAsia="Arial" w:hAnsi="Arial"/>
          <w:sz w:val="22"/>
          <w:szCs w:val="22"/>
        </w:rPr>
        <w:t xml:space="preserve"> is the strongest day of the week: highest average daily revenue ($217,595), most orders (38 avg), and highest AOV ($5,719). Saturday ranks 2nd overall — behaving more like a weekday than a weekend.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Weekdays outperform weekends by 7% in average revenue ($141,914 vs $132,594) and 6% in AOV ($5,418 vs $5,118).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Sunday</w:t>
      </w:r>
      <w:r>
        <w:rPr>
          <w:rFonts w:ascii="Arial" w:cs="Arial" w:eastAsia="Arial" w:hAnsi="Arial"/>
          <w:sz w:val="22"/>
          <w:szCs w:val="22"/>
        </w:rPr>
        <w:t xml:space="preserve"> is consistently the weakest day across all metrics.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3.6 Geo Tier Performance (Facebook &amp; Instagram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</w:t>
      </w:r>
      <w:r>
        <w:rPr>
          <w:rFonts w:ascii="Arial" w:cs="Arial" w:eastAsia="Arial" w:hAnsi="Arial"/>
          <w:sz w:val="22"/>
          <w:szCs w:val="22"/>
        </w:rPr>
        <w:t xml:space="preserve"> cities outperform Tier 2 across every metric: ROAS 1.35x vs 0.72x, ROMI +35.3% vs -28.2%, and $1,590 lower cost per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 2 campaigns actively lose money — every dollar spent returns only 72 cents in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Note: Geo tier is inferred from campaign naming conventions. Only Facebook and Instagram campaigns carry tier designations — this finding reflects social channel geo performance only.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Recommendations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Reallocate budget from social to influencer.</w:t>
      </w:r>
      <w:r>
        <w:rPr>
          <w:rFonts w:ascii="Arial" w:cs="Arial" w:eastAsia="Arial" w:hAnsi="Arial"/>
          <w:sz w:val="22"/>
          <w:szCs w:val="22"/>
        </w:rPr>
        <w:t xml:space="preserve"> Social receives 45.1% of spend ($13.8M) but generates a -14.25% net loss relative to its revenue share. Reallocating 20% of social’s budget ($2.76M) to youtube_blogger — which generates a 3.77x ROAS — would project an additional $7.6M in revenue at current efficiency rates.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Cut or pause the worst-performing campaigns immediately.</w:t>
      </w:r>
      <w:r>
        <w:rPr>
          <w:rFonts w:ascii="Arial" w:cs="Arial" w:eastAsia="Arial" w:hAnsi="Arial"/>
          <w:sz w:val="22"/>
          <w:szCs w:val="22"/>
        </w:rPr>
        <w:t xml:space="preserve"> facebook_lal has a ROMI of -88.6%, consuming $2.64M and returning only $289K in revenue. facebOOK_tier2 and google_wide also have negative ROMI. Together these three campaigns account for $7.3M in spend with deeply negative returns. Redirecting even half of this to youtube_blogger and facebook_retargeting would materially improve overall ROMI.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Prioritise Tier 1 geo targeting for social campaigns.</w:t>
      </w:r>
      <w:r>
        <w:rPr>
          <w:rFonts w:ascii="Arial" w:cs="Arial" w:eastAsia="Arial" w:hAnsi="Arial"/>
          <w:sz w:val="22"/>
          <w:szCs w:val="22"/>
        </w:rPr>
        <w:t xml:space="preserve"> Tier 1 cities deliver a 1.35x ROAS vs Tier 2’s 0.72x. Future campaigns on Facebook and Instagram should weight Tier 1 audiences more heavily, or conduct A/B testing to understand why Tier 2 audiences fail to convert at the lead-to-order stage.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Concentrate ad spend on Fridays and Saturdays.</w:t>
      </w:r>
      <w:r>
        <w:rPr>
          <w:rFonts w:ascii="Arial" w:cs="Arial" w:eastAsia="Arial" w:hAnsi="Arial"/>
          <w:sz w:val="22"/>
          <w:szCs w:val="22"/>
        </w:rPr>
        <w:t xml:space="preserve"> Friday generates the highest average daily revenue ($217,595) and order volume. Scheduling campaign boosts and budget spikes around Friday will maximise returns per marketing dollar.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month of data:</w:t>
      </w:r>
      <w:r>
        <w:rPr>
          <w:rFonts w:ascii="Arial" w:cs="Arial" w:eastAsia="Arial" w:hAnsi="Arial"/>
          <w:sz w:val="22"/>
          <w:szCs w:val="22"/>
        </w:rPr>
        <w:t xml:space="preserve"> This analysis covers February 2021 only. Findings may not generalise to seasonal variation, longer campaign cycles, or changing market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 tier is inferred:</w:t>
      </w:r>
      <w:r>
        <w:rPr>
          <w:rFonts w:ascii="Arial" w:cs="Arial" w:eastAsia="Arial" w:hAnsi="Arial"/>
          <w:sz w:val="22"/>
          <w:szCs w:val="22"/>
        </w:rPr>
        <w:t xml:space="preserve"> There is no explicit geo_location column in the dataset. Tier classification is derived from campaign naming conventions (e.g. ‘facebook_tier1’). Results should be validated against actual geo targeting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Anomalous data point:</w:t>
      </w:r>
      <w:r>
        <w:rPr>
          <w:rFonts w:ascii="Arial" w:cs="Arial" w:eastAsia="Arial" w:hAnsi="Arial"/>
          <w:sz w:val="22"/>
          <w:szCs w:val="22"/>
        </w:rPr>
        <w:t xml:space="preserve"> February 18 shows an unusually high impression count (419M from banner_partner vs a daily average of ~15M), likely a reporting error. This date’s conversion rate has been flagged as unreliable.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margin data:</w:t>
      </w:r>
      <w:r>
        <w:rPr>
          <w:rFonts w:ascii="Arial" w:cs="Arial" w:eastAsia="Arial" w:hAnsi="Arial"/>
          <w:sz w:val="22"/>
          <w:szCs w:val="22"/>
        </w:rPr>
        <w:t xml:space="preserve"> ROAS and ROMI calculations use revenue as a proxy for profit. Without cost-of-goods data, true profit margin cannot be calculated. A 3.77x ROAS is strong but the actual net margin per order may differ.</w:t>
      </w:r>
    </w:p>
    <w:p>
      <w:pPr>
        <w:spacing w:after="0" w:before="160"/>
      </w:pPr>
      <w:r>
        <w:t xml:space="preserve"/>
      </w:r>
    </w:p>
    <w:p>
      <w:pPr>
        <w:pBdr>
          <w:top w:val="single" w:color="CCCCCC" w:sz="4" w:space="6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SQL file available on GitHub  |  Tool: MySQL  |  Kajornpong Jee-in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2026-05-08T06:51:28.778Z</dcterms:created>
  <dcterms:modified xsi:type="dcterms:W3CDTF">2026-05-08T06:51:28.778Z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