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sz w:val="32"/>
        </w:rPr>
        <w:t>ДОКЛАД К ЗАЩИТЕ ВКР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8"/>
        </w:rPr>
        <w:t>«Разработка программной системы для выбора безопасных зон посадки в динамике полёта летательного аппарата»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4"/>
        </w:rPr>
        <w:t>Ассанов И. — группа 221-161</w:t>
      </w:r>
    </w:p>
    <w:p/>
    <w:p>
      <w:pPr>
        <w:spacing w:line="360" w:lineRule="auto"/>
        <w:ind w:firstLine="567"/>
        <w:jc w:val="both"/>
      </w:pPr>
      <w:r>
        <w:rPr>
          <w:rFonts w:ascii="Times New Roman" w:hAnsi="Times New Roman"/>
          <w:sz w:val="28"/>
        </w:rPr>
        <w:t>Уважаемые члены аттестационной комиссии! Вашему вниманию представляется выпускная квалификационная работа, посвящённая разработке программной системы для выбора безопасных зон посадки летательного аппарата в реальном времени.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/>
          <w:sz w:val="28"/>
        </w:rPr>
        <w:t>Актуальность.</w:t>
      </w:r>
      <w:r>
        <w:rPr>
          <w:rFonts w:ascii="Times New Roman" w:hAnsi="Times New Roman"/>
          <w:sz w:val="28"/>
        </w:rPr>
        <w:t xml:space="preserve"> Актуальность темы определяется растущим применением летательных аппаратов в сложных условиях — без подготовленных посадочных площадок, при недостаточной видимости, в чрезвычайных ситуациях. Существующие бортовые системы не дают оперативного и достоверного ответа на вопрос «где сесть безопасно», что и определило выбор темы работы.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/>
          <w:sz w:val="28"/>
        </w:rPr>
        <w:t>Цель.</w:t>
      </w:r>
      <w:r>
        <w:rPr>
          <w:rFonts w:ascii="Times New Roman" w:hAnsi="Times New Roman"/>
          <w:sz w:val="28"/>
        </w:rPr>
        <w:t xml:space="preserve"> Цель работы — разработка программного комплекса, обеспечивающего расчёт безопасных зон посадки в реальном времени на основе данных бортового лидарного зондирования.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/>
          <w:sz w:val="28"/>
        </w:rPr>
        <w:t>Задачи.</w:t>
      </w:r>
      <w:r>
        <w:rPr>
          <w:rFonts w:ascii="Times New Roman" w:hAnsi="Times New Roman"/>
          <w:sz w:val="28"/>
        </w:rPr>
        <w:t xml:space="preserve"> Для достижения цели поставлены пять задач: анализ существующих технологий синтетического зрения; анализ вибрационной совместимости измерительного комплекса с конструкцией летательного аппарата; разработка алгоритмов триангуляции и выделения связных областей корректных треугольников; разработка критериев оценки и ранжирования безопасных зон; программная реализация и верификация комплекса.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/>
          <w:sz w:val="28"/>
        </w:rPr>
        <w:t>1. Технологии синтетического зрения.</w:t>
      </w:r>
      <w:r>
        <w:rPr>
          <w:rFonts w:ascii="Times New Roman" w:hAnsi="Times New Roman"/>
          <w:sz w:val="28"/>
        </w:rPr>
        <w:t xml:space="preserve"> Выполнен обзор средств дистанционного зондирования. По совокупности точности, плотности данных, независимости от освещённости и массогабаритных характеристик для бортового применения выбран лидар; в качестве конкретной модели принят авиационный сканер RIEGL VUX-240.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/>
          <w:sz w:val="28"/>
        </w:rPr>
        <w:t>2. Вибрационная совместимость.</w:t>
      </w:r>
      <w:r>
        <w:rPr>
          <w:rFonts w:ascii="Times New Roman" w:hAnsi="Times New Roman"/>
          <w:sz w:val="28"/>
        </w:rPr>
        <w:t xml:space="preserve"> Расчётная модель лидарной установки принята в виде прямоугольного параллелепипеда; модальным анализом определены пять первых собственных частот прибора в диапазоне от 511,9 до 1784,8 Гц. В качестве носителя рассмотрен вертолёт Ми-38 с шестилопастным несущим винтом. Спектр возбуждения, передаваемого через систему «несущий винт — упругодемпфирующая опора», определён по опубликованной резонансной диаграмме НВ: номинальная частота вращения Ω_нв = 3,25 Гц, лопастная частота f_л = 19,5 Гц, верхняя собственная p_18 рассмотренного диапазона ≈ 23,5 Гц. По данным диаграммы при номинальном режиме ни одна из собственных частот системы «НВ — опора» не совпадает с лопастной — ближайшие резонансы отстоят от номинала на 14–19 % по частоте вращения. По верхней границе спектра возбуждения коэффициент отстройки лидара β = 511,9 / 23,5 ≈ 21,8, по лопастной — β ≈ 26,3, что многократно превышает нормативный минимум β ≥ 1,4. Вибрационная совместимость измерительного комплекса с конструкцией Ми-38 подтверждена.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/>
          <w:sz w:val="28"/>
        </w:rPr>
        <w:t>3. Алгоритм триангуляции и выделение связных областей.</w:t>
      </w:r>
      <w:r>
        <w:rPr>
          <w:rFonts w:ascii="Times New Roman" w:hAnsi="Times New Roman"/>
          <w:sz w:val="28"/>
        </w:rPr>
        <w:t xml:space="preserve"> Реализован алгоритм триангуляции Делоне Боуэра–Ватсона с многопоточным CPU-исполнением через POSIX-потоки и опциональным ускорением на OpenCL. Для эффективного хранения и обхода триангуляции принята полурёберная структура данных. Алгоритм верифицирован на тестовой модели — пластине с круглым отверстием: построено 312 треугольников, ноль нарушений свойства пустой описанной окружности, средний минимальный угол 42,5°, что подтверждает применимость алгоритма и для задач метода конечных элементов. Каждый треугольник классифицируется по геометрическим критериям безопасности — превышению над опорным рельефом, уклону и шумовому порогу плоскостности. Смежные корректные треугольники объединяются в связные области; для каждой области построен замкнутый контур по граничным рёбрам.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/>
          <w:sz w:val="28"/>
        </w:rPr>
        <w:t>4. Критерии оценки и ранжирование зон.</w:t>
      </w:r>
      <w:r>
        <w:rPr>
          <w:rFonts w:ascii="Times New Roman" w:hAnsi="Times New Roman"/>
          <w:sz w:val="28"/>
        </w:rPr>
        <w:t xml:space="preserve"> Разработана пятикритериальная оценка зон: площадь, средний уклон, максимальный уклон, компактность формы, запас удаления от опасных границ. Критерии нормированы и свёрнуты в интегральный показатель пригодности. Для каждой зоны дополнительно вычисляется оптимальный центр посадки — точка, максимально удалённая от границ области, в которой и размещается окружность эквивалентного радиуса летательного аппарата.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/>
          <w:sz w:val="28"/>
        </w:rPr>
        <w:t>5. Программная реализация.</w:t>
      </w:r>
      <w:r>
        <w:rPr>
          <w:rFonts w:ascii="Times New Roman" w:hAnsi="Times New Roman"/>
          <w:sz w:val="28"/>
        </w:rPr>
        <w:t xml:space="preserve"> Программный комплекс реализован на языке C с использованием OpenGL для интерактивной визуализации в реальном времени. Поддерживаются три режима отображения: облако точек, серая триангуляционная сетка и подсвеченные безопасные зоны с градиентной окраской по рангу. Тяжёлая часть пересчёта сетки вынесена в фоновый поток, основной поток продолжает рендеринг и обработку управления.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/>
          <w:sz w:val="28"/>
        </w:rPr>
        <w:t>Научная новизна.</w:t>
      </w:r>
      <w:r>
        <w:rPr>
          <w:rFonts w:ascii="Times New Roman" w:hAnsi="Times New Roman"/>
          <w:sz w:val="28"/>
        </w:rPr>
        <w:t xml:space="preserve"> Научная новизна работы состоит в комбинированном подходе к анализу триангулированной поверхности, учитывающем одновременно локальные геометрические критерии безопасности и глобальные характеристики связных областей.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/>
          <w:sz w:val="28"/>
        </w:rPr>
        <w:t>Практическая значимость.</w:t>
      </w:r>
      <w:r>
        <w:rPr>
          <w:rFonts w:ascii="Times New Roman" w:hAnsi="Times New Roman"/>
          <w:sz w:val="28"/>
        </w:rPr>
        <w:t xml:space="preserve"> Практическая значимость результатов состоит в возможности их применения в системах автономной посадки беспилотных летательных аппаратов, в комплексах поддержки принятия решений экипажа пилотируемых вертолётов, а также в задачах оперативной геопространственной аналитики на борту.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/>
          <w:sz w:val="28"/>
        </w:rPr>
        <w:t>Заключение.</w:t>
      </w:r>
      <w:r>
        <w:rPr>
          <w:rFonts w:ascii="Times New Roman" w:hAnsi="Times New Roman"/>
          <w:sz w:val="28"/>
        </w:rPr>
        <w:t xml:space="preserve"> Таким образом, поставленная цель достигнута, все задачи решены. Доклад окончен. Благодарю за внимание — готов ответить на вопросы комиссии.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