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96817" w14:textId="77777777" w:rsidR="00E863A2" w:rsidRDefault="00000000">
      <w:pPr>
        <w:spacing w:after="200"/>
        <w:jc w:val="center"/>
      </w:pPr>
      <w:r>
        <w:rPr>
          <w:b/>
          <w:sz w:val="44"/>
        </w:rPr>
        <w:t>Optimising Automotive Portfolios for Net-Zero Transition, Urban Mobility, and Risk Mitigation</w:t>
      </w:r>
    </w:p>
    <w:p w14:paraId="062B30BF" w14:textId="77777777" w:rsidR="00E863A2" w:rsidRDefault="00000000">
      <w:pPr>
        <w:spacing w:after="120"/>
        <w:jc w:val="center"/>
      </w:pPr>
      <w:r>
        <w:rPr>
          <w:color w:val="444444"/>
          <w:sz w:val="28"/>
        </w:rPr>
        <w:t>A CRISP-DM Data Engineering Framework for Structural Vehicle Attribute Analysis</w:t>
      </w:r>
    </w:p>
    <w:p w14:paraId="41F9C290" w14:textId="77777777" w:rsidR="00E863A2" w:rsidRDefault="00000000">
      <w:pPr>
        <w:spacing w:after="80"/>
        <w:jc w:val="center"/>
      </w:pPr>
      <w:r>
        <w:rPr>
          <w:color w:val="666666"/>
        </w:rPr>
        <w:t>Automotive Systems Research Group — Department of Engineering Management</w:t>
      </w:r>
    </w:p>
    <w:p w14:paraId="25A9EA7A" w14:textId="77777777" w:rsidR="00E863A2" w:rsidRDefault="00000000">
      <w:pPr>
        <w:spacing w:after="480"/>
        <w:jc w:val="center"/>
      </w:pPr>
      <w:r>
        <w:rPr>
          <w:color w:val="666666"/>
        </w:rPr>
        <w:t>Institute of Advanced Mobility Research</w:t>
      </w:r>
    </w:p>
    <w:p w14:paraId="02950DD6" w14:textId="77777777" w:rsidR="00E863A2" w:rsidRDefault="00000000">
      <w:pPr>
        <w:pStyle w:val="Heading1"/>
        <w:spacing w:after="120"/>
      </w:pPr>
      <w:r>
        <w:rPr>
          <w:b/>
          <w:sz w:val="28"/>
        </w:rPr>
        <w:t>Abstract</w:t>
      </w:r>
    </w:p>
    <w:p w14:paraId="2B40711B" w14:textId="77777777" w:rsidR="00E863A2" w:rsidRDefault="00000000">
      <w:pPr>
        <w:spacing w:after="160"/>
      </w:pPr>
      <w:r>
        <w:t xml:space="preserve">The global automotive sector faces an unprecedented convergence of legislative pressure and commercial imperative: Corporate Average Fuel Economy (CAFE) standards in North America, EU Fleet CO2 Regulation EC 443/2009 and its successor Regulation (EU) 2019/631, and the proliferating network of urban Low-Emission Zones mandate measurable, accelerated decarbonisation of new-vehicle portfolios, while Original Equipment Manufacturers (OEMs) must simultaneously defend market share in premium and performance segments that generate disproportionate contribution margins. Despite the urgency of this dual challenge, a systematic gap persists at the intersection of structural vehicle optimisation and actuarial insurance risk profiling: fleet-average CO2 compliance models routinely omit the insurance risk penalty associated with high-performance attributes, and actuarial </w:t>
      </w:r>
      <w:proofErr w:type="spellStart"/>
      <w:r>
        <w:t>symboling</w:t>
      </w:r>
      <w:proofErr w:type="spellEnd"/>
      <w:r>
        <w:t xml:space="preserve"> analyses rarely engage with the mechanical root causes encoded in powertrain and chassis engineering decisions. This paper addresses that gap through a comprehensive Exploratory Data Analysis and Feature Engineering investigation of a representative multi-make automotive dataset using a five-module Python pipeline governed by the CRISP-DM methodology. Missing values in the sparse actuarial columns normalized-losses, bore, and stroke are imputed via Iterative Conditional Median Profiling grouped by vehicle make, thereby preserving intra-brand variance structure. Pearson Product-Moment Correlation analysis across curb weight, engine displacement, horsepower, and fuel economy attributes </w:t>
      </w:r>
      <w:proofErr w:type="gramStart"/>
      <w:r>
        <w:t>reveals</w:t>
      </w:r>
      <w:proofErr w:type="gramEnd"/>
      <w:r>
        <w:t xml:space="preserve"> a strong negative linear association between structural mass and highway efficiency. The MPG-to-L/100km conversion formula L/100km = 235.214145 / MPG is applied to produce carbon proxy vectors aligned with European fleet reporting standards. Empirical analysis demonstrates that turbocharged sub-four-cylinder architectures achieve greater than 20% reduction in city-cycle fuel consumption relative to naturally aspirated V6 baselines, and that every additional 100 kg of curb weight imposes a measurable highway-MPG degradation penalty consistent across all manufacturer segments. Critically, vehicles equipped with powertrains exceeding 150 BHP are disproportionately assigned maximum </w:t>
      </w:r>
      <w:proofErr w:type="spellStart"/>
      <w:r>
        <w:t>symboling</w:t>
      </w:r>
      <w:proofErr w:type="spellEnd"/>
      <w:r>
        <w:t xml:space="preserve"> risk scores of +2 and +3, confirming an actuarial mismatch between performance positioning and insurance cost competitiveness. These findings reveal a structural market gap for premium low-risk commuter vehicles combining turbocharged efficiency architectures with sub-150 BHP calibration, representing a commercially viable strategic vector for OEMs navigating portfolio rationalisation under net-zero transition mandates.</w:t>
      </w:r>
    </w:p>
    <w:p w14:paraId="623FF2A6" w14:textId="77777777" w:rsidR="00E863A2" w:rsidRDefault="00000000">
      <w:pPr>
        <w:spacing w:after="320"/>
      </w:pPr>
      <w:r>
        <w:rPr>
          <w:i/>
          <w:sz w:val="20"/>
        </w:rPr>
        <w:lastRenderedPageBreak/>
        <w:t xml:space="preserve">Index Terms: automotive portfolio optimisation, net-zero </w:t>
      </w:r>
      <w:proofErr w:type="gramStart"/>
      <w:r>
        <w:rPr>
          <w:i/>
          <w:sz w:val="20"/>
        </w:rPr>
        <w:t>transition</w:t>
      </w:r>
      <w:proofErr w:type="gramEnd"/>
      <w:r>
        <w:rPr>
          <w:i/>
          <w:sz w:val="20"/>
        </w:rPr>
        <w:t>, CAFE compliance, fuel economy modelling, Pearson correlation analysis, actuarial risk scoring, engine downsizing, CRISP-DM data engineering.</w:t>
      </w:r>
    </w:p>
    <w:p w14:paraId="4A4CB2FB" w14:textId="77777777" w:rsidR="00E863A2" w:rsidRDefault="00000000">
      <w:pPr>
        <w:pStyle w:val="Heading1"/>
        <w:spacing w:before="280" w:after="120"/>
      </w:pPr>
      <w:r>
        <w:rPr>
          <w:b/>
          <w:sz w:val="28"/>
        </w:rPr>
        <w:t>1. Introduction</w:t>
      </w:r>
    </w:p>
    <w:p w14:paraId="7B7B1781" w14:textId="77777777" w:rsidR="00E863A2" w:rsidRDefault="00000000">
      <w:pPr>
        <w:spacing w:after="160"/>
      </w:pPr>
      <w:r>
        <w:t>The contemporary automotive industry operates within a regulatory and competitive environment of exceptional complexity. Legislated fleet-average CO2 targets, codified in instruments including the United States Corporate Average Fuel Economy programme, EU Regulation EC 443/2009, its consolidating successor Regulation (EU) 2019/631, and the increasingly mandatory Urban Low-Emission Zone frameworks deployed across London, Paris, Amsterdam, and more than 320 European cities, have imposed a structural obligation upon OEMs to measurably reduce the carbon intensity of every new-vehicle programme. Simultaneously, the commercial DNA of premium and volume OEMs alike remains deeply entangled with performance-oriented product portfolios: turbocharged and supercharged powertrains, sport-tuned suspension architectures, and styling-driven exterior geometries that impose aerodynamic and mass penalties incompatible with next-generation efficiency targets.</w:t>
      </w:r>
    </w:p>
    <w:p w14:paraId="3C41A547" w14:textId="77777777" w:rsidR="00E863A2" w:rsidRDefault="00000000">
      <w:pPr>
        <w:spacing w:after="160"/>
      </w:pPr>
      <w:r>
        <w:t xml:space="preserve">This tension is not merely regulatory. It is structurally embedded in the vehicle attribute profiles that define competitive positioning. Curb weight inflation — driven by the growing consumer preference for utility vehicle body styles, passive and active safety architecture expansion, and the increasing electrification of ancillary systems — has progressively eroded the specific fuel consumption gains achieved through combustion efficiency programmes. Engine displacement trends, historically the primary lever of both performance differentiation and fuel economy compliance, are undergoing a fundamental inversion: the widespread adoption of boosted small-displacement powertrains reframes the efficiency-performance trade-off but introduces new actuarial risk profiles associated with heightened power-to-weight ratios. Horsepower escalation, sustained by consumer demand for performance credibility in crossover and SUV segments, directly inflates insurance </w:t>
      </w:r>
      <w:proofErr w:type="spellStart"/>
      <w:r>
        <w:t>symboling</w:t>
      </w:r>
      <w:proofErr w:type="spellEnd"/>
      <w:r>
        <w:t xml:space="preserve"> risk scores — a relationship that has not been systematically quantified at portfolio scale in the existing literature.</w:t>
      </w:r>
    </w:p>
    <w:p w14:paraId="3D6E608C" w14:textId="77777777" w:rsidR="00E863A2" w:rsidRDefault="00000000">
      <w:pPr>
        <w:spacing w:after="80"/>
      </w:pPr>
      <w:r>
        <w:t>This paper presents a data-driven Exploratory Data Analysis and Feature Engineering investigation designed to quantify these structural tensions across a representative multi-make automotive dataset. The investigation is operationalised through a five-module Python pipeline constructed under CRISP-DM workflow compliance, incorporating Iterative Conditional Median Profiling for missing value imputation, Pearson Product-Moment Correlation for multi-attribute relationship quantification, and a formal MPG-to-L/100km carbon proxy conversion framework. The research pursues the following explicitly scoped objectives:</w:t>
      </w:r>
    </w:p>
    <w:p w14:paraId="4E7AA6D6" w14:textId="77777777" w:rsidR="00E863A2" w:rsidRDefault="00000000">
      <w:pPr>
        <w:numPr>
          <w:ilvl w:val="0"/>
          <w:numId w:val="1"/>
        </w:numPr>
        <w:spacing w:after="80"/>
      </w:pPr>
      <w:r>
        <w:t>1. To quantify the fuel consumption differential between turbocharged sub-four-cylinder and naturally aspirated V6 powertrains using the city-L/100km carbon proxy vector as the comparative metric.</w:t>
      </w:r>
    </w:p>
    <w:p w14:paraId="525F40A0" w14:textId="77777777" w:rsidR="00E863A2" w:rsidRDefault="00000000">
      <w:pPr>
        <w:numPr>
          <w:ilvl w:val="0"/>
          <w:numId w:val="1"/>
        </w:numPr>
        <w:spacing w:after="80"/>
      </w:pPr>
      <w:r>
        <w:t>2. To characterise the linear curb-weight-to-highway-fuel-economy degradation relationship and identify the vehicle mass threshold above which urban mobility efficiency targets cannot be met.</w:t>
      </w:r>
    </w:p>
    <w:p w14:paraId="2B3F0EA5" w14:textId="77777777" w:rsidR="00E863A2" w:rsidRDefault="00000000">
      <w:pPr>
        <w:numPr>
          <w:ilvl w:val="0"/>
          <w:numId w:val="1"/>
        </w:numPr>
        <w:spacing w:after="80"/>
      </w:pPr>
      <w:r>
        <w:lastRenderedPageBreak/>
        <w:t xml:space="preserve">3. To establish and quantify the actuarial risk association between powertrain horsepower output exceeding 150 BHP and maximum </w:t>
      </w:r>
      <w:proofErr w:type="spellStart"/>
      <w:r>
        <w:t>symboling</w:t>
      </w:r>
      <w:proofErr w:type="spellEnd"/>
      <w:r>
        <w:t xml:space="preserve"> risk score assignment, thereby revealing the structural insurance cost penalty embedded in performance-oriented vehicle configurations.</w:t>
      </w:r>
    </w:p>
    <w:p w14:paraId="2D21A596" w14:textId="77777777" w:rsidR="00E863A2" w:rsidRDefault="00000000">
      <w:pPr>
        <w:numPr>
          <w:ilvl w:val="0"/>
          <w:numId w:val="1"/>
        </w:numPr>
        <w:spacing w:after="160"/>
      </w:pPr>
      <w:r>
        <w:t>4. To synthesise these findings into actionable strategic recommendations for OEM portfolio rationalisation under CAFE and EU Fleet CO2 compliance trajectories.</w:t>
      </w:r>
    </w:p>
    <w:p w14:paraId="7EDA3691" w14:textId="77777777" w:rsidR="00E863A2" w:rsidRDefault="00000000">
      <w:pPr>
        <w:spacing w:after="160"/>
      </w:pPr>
      <w:r>
        <w:t>The importance of this work to legacy OEMs navigating net-zero transition risk cannot be overstated. Portfolio rationalisation decisions made in the current product cycle will determine regulatory compliance status through the 2030 and 2035 mandatory thresholds. The integration of actuarial insurance risk profiling into structural vehicle optimisation analysis provides a commercially grounded rationale for the portfolio configurations that simultaneously minimise regulatory exposure, reduce fleet operator total cost of ownership, and unlock the growing consumer segment prioritising low-risk, high-efficiency urban mobility solutions.</w:t>
      </w:r>
    </w:p>
    <w:p w14:paraId="146C5908" w14:textId="77777777" w:rsidR="00E863A2" w:rsidRDefault="00000000">
      <w:pPr>
        <w:pStyle w:val="Heading1"/>
        <w:spacing w:before="280" w:after="120"/>
      </w:pPr>
      <w:r>
        <w:rPr>
          <w:b/>
          <w:sz w:val="28"/>
        </w:rPr>
        <w:t>2. Literature Review and Research Gap</w:t>
      </w:r>
    </w:p>
    <w:p w14:paraId="1BA0413B" w14:textId="77777777" w:rsidR="00E863A2" w:rsidRDefault="00000000">
      <w:pPr>
        <w:pStyle w:val="Heading2"/>
        <w:spacing w:before="200" w:after="80"/>
      </w:pPr>
      <w:r>
        <w:rPr>
          <w:b/>
          <w:sz w:val="24"/>
        </w:rPr>
        <w:t>2.1 Structural Vehicle Optimisation</w:t>
      </w:r>
    </w:p>
    <w:p w14:paraId="6DF3262F" w14:textId="77777777" w:rsidR="00E863A2" w:rsidRDefault="00000000">
      <w:pPr>
        <w:spacing w:after="160"/>
      </w:pPr>
      <w:r>
        <w:t xml:space="preserve">The engineering literature on structural vehicle optimisation spans five decades of progressively refined powertrain efficiency research. </w:t>
      </w:r>
      <w:proofErr w:type="spellStart"/>
      <w:r>
        <w:t>Bandivadekar</w:t>
      </w:r>
      <w:proofErr w:type="spellEnd"/>
      <w:r>
        <w:t xml:space="preserve"> et al. established the foundational quantitative framework for assessing the fuel economy potential of powertrain technology packages, demonstrating through simulation modelling that turbocharged direct-injection four-cylinder engines can replicate the torque and power delivery profile of naturally aspirated six-cylinder configurations at a displacement penalty of approximately 40%, translating to measurable city-cycle and highway-cycle fuel consumption reductions. The SAE International technical literature on engine downsizing confirms that the efficiency gains of boosted small-displacement architectures are not uniformly distributed across the drive cycle: low-speed urban operation yields greater relative benefit than sustained motorway cruising, where pumping losses in boosted configurations partially offset thermodynamic gains. Lightweighting research by </w:t>
      </w:r>
      <w:proofErr w:type="spellStart"/>
      <w:r>
        <w:t>Lutsey</w:t>
      </w:r>
      <w:proofErr w:type="spellEnd"/>
      <w:r>
        <w:t xml:space="preserve"> demonstrates that every 10% reduction in vehicle mass yields approximately 6–8% improvement in fuel economy under standardised drive cycle conditions, a relationship that compounds when combined with powertrain downsizing. The aerodynamic efficiency literature identifies drag coefficient as the third structural lever: above 100 km/h, aerodynamic resistance dominates rolling resistance as the primary energy dissipation mechanism, making styling-driven design decisions a direct determinant of highway fuel economy outcomes. Despite this breadth of individual optimisation literature, the structural vehicle optimisation corpus rarely models the simultaneous multi-attribute interactions across powertrain, mass, and aerodynamic variables within a unified quantitative framework at portfolio scale.</w:t>
      </w:r>
    </w:p>
    <w:p w14:paraId="240CCA4B" w14:textId="77777777" w:rsidR="00E863A2" w:rsidRDefault="00000000">
      <w:pPr>
        <w:pStyle w:val="Heading2"/>
        <w:spacing w:before="200" w:after="80"/>
      </w:pPr>
      <w:r>
        <w:rPr>
          <w:b/>
          <w:sz w:val="24"/>
        </w:rPr>
        <w:t>2.2 Environmental Economics and Lifecycle Emissions</w:t>
      </w:r>
    </w:p>
    <w:p w14:paraId="19B96468" w14:textId="77777777" w:rsidR="00E863A2" w:rsidRDefault="00000000">
      <w:pPr>
        <w:spacing w:after="160"/>
      </w:pPr>
      <w:r>
        <w:t xml:space="preserve">The environmental economics literature provides the regulatory compliance modelling foundation that motivates portfolio-level intervention. An and Sauer established comparative fuel economy standards analysis across the US, EU, and Japanese regulatory frameworks, demonstrating the divergent methodological approaches that complicate global portfolio compliance management. </w:t>
      </w:r>
      <w:proofErr w:type="spellStart"/>
      <w:r>
        <w:t>Mockus</w:t>
      </w:r>
      <w:proofErr w:type="spellEnd"/>
      <w:r>
        <w:t xml:space="preserve"> et al. extended this work into full lifecycle emissions accounting, demonstrating that Scope 3 use-phase emissions from combustion </w:t>
      </w:r>
      <w:r>
        <w:lastRenderedPageBreak/>
        <w:t>vehicles dominate lifecycle carbon profiles, accounting for approximately 75–80% of total vehicle lifecycle CO2-equivalent output. The MPG-based carbon proxy methodology adopted in this paper through the conversion formula L/100km = 235.214145 / MPG operationalises European fleet reporting conventions within a dataset structured under North American measurement standards, enabling cross-jurisdictional portfolio benchmarking. Schipper et al. document the empirical relationship between fleet-average fuel economy and fleet-average CO2 intensity across OECD markets, providing the empirical foundation for treating fuel economy as a valid carbon performance proxy. The limitation of this body of literature is its persistent focus on fleet aggregate metrics: individual vehicle attribute profiles, and their interactions, are rarely modelled at the vehicle-level granularity required for actionable product planning decisions.</w:t>
      </w:r>
    </w:p>
    <w:p w14:paraId="784DB65B" w14:textId="77777777" w:rsidR="00E863A2" w:rsidRDefault="00000000">
      <w:pPr>
        <w:pStyle w:val="Heading2"/>
        <w:spacing w:before="200" w:after="80"/>
      </w:pPr>
      <w:r>
        <w:rPr>
          <w:b/>
          <w:sz w:val="24"/>
        </w:rPr>
        <w:t xml:space="preserve">2.3 Actuarial Risk Analysis and Insurance </w:t>
      </w:r>
      <w:proofErr w:type="spellStart"/>
      <w:r>
        <w:rPr>
          <w:b/>
          <w:sz w:val="24"/>
        </w:rPr>
        <w:t>Symboling</w:t>
      </w:r>
      <w:proofErr w:type="spellEnd"/>
    </w:p>
    <w:p w14:paraId="5859B353" w14:textId="77777777" w:rsidR="00E863A2" w:rsidRDefault="00000000">
      <w:pPr>
        <w:spacing w:after="160"/>
      </w:pPr>
      <w:r>
        <w:t xml:space="preserve">The actuarial literature on vehicle insurance risk classification addresses the symbolic risk scoring system that encodes historical collision, theft, and repair cost experience into a scalar rating variable. Cummins and Tennyson established the theoretical grounding for insurance </w:t>
      </w:r>
      <w:proofErr w:type="spellStart"/>
      <w:r>
        <w:t>symboling</w:t>
      </w:r>
      <w:proofErr w:type="spellEnd"/>
      <w:r>
        <w:t xml:space="preserve"> as an incentive-compatible risk classification mechanism, demonstrating that accurate </w:t>
      </w:r>
      <w:proofErr w:type="spellStart"/>
      <w:r>
        <w:t>symboling</w:t>
      </w:r>
      <w:proofErr w:type="spellEnd"/>
      <w:r>
        <w:t xml:space="preserve"> reduces adverse selection and moral hazard in vehicle insurance markets. </w:t>
      </w:r>
      <w:proofErr w:type="spellStart"/>
      <w:r>
        <w:t>Litman</w:t>
      </w:r>
      <w:proofErr w:type="spellEnd"/>
      <w:r>
        <w:t xml:space="preserve"> extended this framework to urban mobility contexts, demonstrating that vehicle performance attributes — specifically power-to-weight ratio, top speed capability, and engine displacement — are statistically significant predictors of at-fault collision frequency and severity. The empirical relationship between horsepower and insurance premium investigated by Rosenfield reveals a non-linear premium escalation above the 150 BHP threshold that reflects both increased collision risk and higher repair cost per incident. Despite the actuarial significance of these vehicle attribute relationships, the insurance risk literature operates in near-complete isolation from the structural vehicle optimisation and environmental economics corpora: </w:t>
      </w:r>
      <w:proofErr w:type="spellStart"/>
      <w:r>
        <w:t>symboling</w:t>
      </w:r>
      <w:proofErr w:type="spellEnd"/>
      <w:r>
        <w:t xml:space="preserve"> risk scores are rarely incorporated into OEM product planning decision frameworks, and the portfolio-level insurance risk profile of a vehicle model range receives minimal attention in the engineering management literature.</w:t>
      </w:r>
    </w:p>
    <w:p w14:paraId="04415125" w14:textId="77777777" w:rsidR="00E863A2" w:rsidRDefault="00000000">
      <w:pPr>
        <w:pStyle w:val="Heading2"/>
        <w:spacing w:before="200" w:after="80"/>
      </w:pPr>
      <w:r>
        <w:rPr>
          <w:b/>
          <w:sz w:val="24"/>
        </w:rPr>
        <w:t>2.4 Research Gap</w:t>
      </w:r>
    </w:p>
    <w:p w14:paraId="58D2B1AF" w14:textId="77777777" w:rsidR="00E863A2" w:rsidRDefault="00000000">
      <w:pPr>
        <w:spacing w:after="240"/>
      </w:pPr>
      <w:r>
        <w:t xml:space="preserve">The preceding review establishes a clear and commercially consequential gap: the three bodies of literature — structural vehicle optimisation, environmental economics, and actuarial risk analysis — address overlapping sets of vehicle attributes through entirely segregated analytical frameworks. OEM product planners optimising for CAFE compliance trajectories do not routinely model the insurance risk implications of powertrain and weight decisions. Actuaries assigning </w:t>
      </w:r>
      <w:proofErr w:type="spellStart"/>
      <w:r>
        <w:t>symboling</w:t>
      </w:r>
      <w:proofErr w:type="spellEnd"/>
      <w:r>
        <w:t xml:space="preserve"> scores do not engage with the engineering root causes encoded in displacement and mass data. Environmental economists modelling fleet CO2 compliance focus on aggregate metrics that obscure the vehicle-level attribute interactions that drive both efficiency and risk outcomes simultaneously. This paper directly addresses that decoupling by constructing a unified, attribute-level analytical framework that simultaneously models fuel economy, structural mass, and actuarial risk variables within a single CRISP-DM pipeline, generating integrated findings that inform portfolio optimisation decisions across all three compliance and commercial dimensions.</w:t>
      </w:r>
    </w:p>
    <w:p w14:paraId="25F77E16" w14:textId="77777777" w:rsidR="00E863A2" w:rsidRDefault="00000000">
      <w:pPr>
        <w:spacing w:after="120"/>
        <w:jc w:val="center"/>
      </w:pPr>
      <w:r>
        <w:rPr>
          <w:b/>
          <w:sz w:val="20"/>
        </w:rPr>
        <w:t>Table 1: Research Domain Comparison and Contribution of This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2529"/>
        <w:gridCol w:w="1901"/>
        <w:gridCol w:w="2304"/>
      </w:tblGrid>
      <w:tr w:rsidR="00E863A2" w14:paraId="1E698E17" w14:textId="77777777">
        <w:trPr>
          <w:tblHeader/>
        </w:trPr>
        <w:tc>
          <w:tcPr>
            <w:tcW w:w="0" w:type="auto"/>
          </w:tcPr>
          <w:p w14:paraId="22ACE0F8" w14:textId="77777777" w:rsidR="00E863A2" w:rsidRDefault="00000000">
            <w:r>
              <w:lastRenderedPageBreak/>
              <w:t>Domain</w:t>
            </w:r>
          </w:p>
        </w:tc>
        <w:tc>
          <w:tcPr>
            <w:tcW w:w="0" w:type="auto"/>
          </w:tcPr>
          <w:p w14:paraId="5D3F4ECD" w14:textId="77777777" w:rsidR="00E863A2" w:rsidRDefault="00000000">
            <w:r>
              <w:t>Representative Methodologies</w:t>
            </w:r>
          </w:p>
        </w:tc>
        <w:tc>
          <w:tcPr>
            <w:tcW w:w="0" w:type="auto"/>
          </w:tcPr>
          <w:p w14:paraId="60BEFDF7" w14:textId="77777777" w:rsidR="00E863A2" w:rsidRDefault="00000000">
            <w:r>
              <w:t>Limitations</w:t>
            </w:r>
          </w:p>
        </w:tc>
        <w:tc>
          <w:tcPr>
            <w:tcW w:w="0" w:type="auto"/>
          </w:tcPr>
          <w:p w14:paraId="1A21D15D" w14:textId="77777777" w:rsidR="00E863A2" w:rsidRDefault="00000000">
            <w:r>
              <w:t>Contribution of This Work</w:t>
            </w:r>
          </w:p>
        </w:tc>
      </w:tr>
      <w:tr w:rsidR="00E863A2" w14:paraId="67FC22BE" w14:textId="77777777">
        <w:tc>
          <w:tcPr>
            <w:tcW w:w="0" w:type="auto"/>
          </w:tcPr>
          <w:p w14:paraId="527CCFC3" w14:textId="77777777" w:rsidR="00E863A2" w:rsidRDefault="00000000">
            <w:r>
              <w:t>Structural Optimisation</w:t>
            </w:r>
          </w:p>
        </w:tc>
        <w:tc>
          <w:tcPr>
            <w:tcW w:w="0" w:type="auto"/>
          </w:tcPr>
          <w:p w14:paraId="193B49A7" w14:textId="77777777" w:rsidR="00E863A2" w:rsidRDefault="00000000">
            <w:r>
              <w:t>Powertrain simulation, lightweighting regression, drag-coefficient modelling</w:t>
            </w:r>
          </w:p>
        </w:tc>
        <w:tc>
          <w:tcPr>
            <w:tcW w:w="0" w:type="auto"/>
          </w:tcPr>
          <w:p w14:paraId="12854F08" w14:textId="77777777" w:rsidR="00E863A2" w:rsidRDefault="00000000">
            <w:r>
              <w:t>Single-attribute focus; no actuarial integration</w:t>
            </w:r>
          </w:p>
        </w:tc>
        <w:tc>
          <w:tcPr>
            <w:tcW w:w="0" w:type="auto"/>
          </w:tcPr>
          <w:p w14:paraId="1F35A4B3" w14:textId="77777777" w:rsidR="00E863A2" w:rsidRDefault="00000000">
            <w:r>
              <w:t>Multi-attribute Pearson correlation across powertrain, mass, and efficiency vectors</w:t>
            </w:r>
          </w:p>
        </w:tc>
      </w:tr>
      <w:tr w:rsidR="00E863A2" w14:paraId="25D5FA24" w14:textId="77777777">
        <w:tc>
          <w:tcPr>
            <w:tcW w:w="0" w:type="auto"/>
          </w:tcPr>
          <w:p w14:paraId="4ECDCA4F" w14:textId="77777777" w:rsidR="00E863A2" w:rsidRDefault="00000000">
            <w:r>
              <w:t>Environmental Economics</w:t>
            </w:r>
          </w:p>
        </w:tc>
        <w:tc>
          <w:tcPr>
            <w:tcW w:w="0" w:type="auto"/>
          </w:tcPr>
          <w:p w14:paraId="47D71922" w14:textId="77777777" w:rsidR="00E863A2" w:rsidRDefault="00000000">
            <w:r>
              <w:t>Fleet CO2 compliance modelling, lifecycle emissions accounting, MPG proxy analysis</w:t>
            </w:r>
          </w:p>
        </w:tc>
        <w:tc>
          <w:tcPr>
            <w:tcW w:w="0" w:type="auto"/>
          </w:tcPr>
          <w:p w14:paraId="21EBFE6D" w14:textId="77777777" w:rsidR="00E863A2" w:rsidRDefault="00000000">
            <w:r>
              <w:t>Aggregate fleet metrics; limited vehicle-level granularity</w:t>
            </w:r>
          </w:p>
        </w:tc>
        <w:tc>
          <w:tcPr>
            <w:tcW w:w="0" w:type="auto"/>
          </w:tcPr>
          <w:p w14:paraId="758C639A" w14:textId="77777777" w:rsidR="00E863A2" w:rsidRDefault="00000000">
            <w:r>
              <w:t>Vehicle-level carbon proxy conversion and brand-segmented imputation</w:t>
            </w:r>
          </w:p>
        </w:tc>
      </w:tr>
      <w:tr w:rsidR="00E863A2" w14:paraId="1BDADB6D" w14:textId="77777777">
        <w:tc>
          <w:tcPr>
            <w:tcW w:w="0" w:type="auto"/>
          </w:tcPr>
          <w:p w14:paraId="1CE9FFD6" w14:textId="77777777" w:rsidR="00E863A2" w:rsidRDefault="00000000">
            <w:r>
              <w:t>Actuarial Risk Analysis</w:t>
            </w:r>
          </w:p>
        </w:tc>
        <w:tc>
          <w:tcPr>
            <w:tcW w:w="0" w:type="auto"/>
          </w:tcPr>
          <w:p w14:paraId="58087687" w14:textId="77777777" w:rsidR="00E863A2" w:rsidRDefault="00000000">
            <w:proofErr w:type="spellStart"/>
            <w:r>
              <w:t>Symboling</w:t>
            </w:r>
            <w:proofErr w:type="spellEnd"/>
            <w:r>
              <w:t xml:space="preserve"> risk scoring, collision frequency modelling, premium-to-attribute regression</w:t>
            </w:r>
          </w:p>
        </w:tc>
        <w:tc>
          <w:tcPr>
            <w:tcW w:w="0" w:type="auto"/>
          </w:tcPr>
          <w:p w14:paraId="57B80550" w14:textId="77777777" w:rsidR="00E863A2" w:rsidRDefault="00000000">
            <w:r>
              <w:t>Isolated from structural engineering; no EDA integration</w:t>
            </w:r>
          </w:p>
        </w:tc>
        <w:tc>
          <w:tcPr>
            <w:tcW w:w="0" w:type="auto"/>
          </w:tcPr>
          <w:p w14:paraId="49B0B9F5" w14:textId="77777777" w:rsidR="00E863A2" w:rsidRDefault="00000000">
            <w:proofErr w:type="spellStart"/>
            <w:r>
              <w:t>Symboling</w:t>
            </w:r>
            <w:proofErr w:type="spellEnd"/>
            <w:r>
              <w:t>-horsepower correlation quantified within unified feature engineering pipeline</w:t>
            </w:r>
          </w:p>
        </w:tc>
      </w:tr>
      <w:tr w:rsidR="00E863A2" w14:paraId="140B0308" w14:textId="77777777">
        <w:tc>
          <w:tcPr>
            <w:tcW w:w="0" w:type="auto"/>
          </w:tcPr>
          <w:p w14:paraId="36209BE5" w14:textId="77777777" w:rsidR="00E863A2" w:rsidRDefault="00000000">
            <w:r>
              <w:t>Holistic EDA Model (This Work)</w:t>
            </w:r>
          </w:p>
        </w:tc>
        <w:tc>
          <w:tcPr>
            <w:tcW w:w="0" w:type="auto"/>
          </w:tcPr>
          <w:p w14:paraId="1C097BFB" w14:textId="77777777" w:rsidR="00E863A2" w:rsidRDefault="00000000">
            <w:r>
              <w:t>CRISP-DM pipeline, Conditional Median Imputation, Pearson correlation, OHE feature engineering</w:t>
            </w:r>
          </w:p>
        </w:tc>
        <w:tc>
          <w:tcPr>
            <w:tcW w:w="0" w:type="auto"/>
          </w:tcPr>
          <w:p w14:paraId="32E61337" w14:textId="77777777" w:rsidR="00E863A2" w:rsidRDefault="00000000">
            <w:r>
              <w:t>Scope limited to combustion vehicles; BEV extension is future work</w:t>
            </w:r>
          </w:p>
        </w:tc>
        <w:tc>
          <w:tcPr>
            <w:tcW w:w="0" w:type="auto"/>
          </w:tcPr>
          <w:p w14:paraId="3F7C0650" w14:textId="77777777" w:rsidR="00E863A2" w:rsidRDefault="00000000">
            <w:r>
              <w:t>First unified portfolio-level framework linking CO2 efficiency, structural mass, and actuarial risk</w:t>
            </w:r>
          </w:p>
        </w:tc>
      </w:tr>
    </w:tbl>
    <w:p w14:paraId="058006D4" w14:textId="77777777" w:rsidR="00E863A2" w:rsidRDefault="00000000">
      <w:pPr>
        <w:pStyle w:val="Heading1"/>
        <w:spacing w:before="280" w:after="120"/>
      </w:pPr>
      <w:r>
        <w:rPr>
          <w:b/>
          <w:sz w:val="28"/>
        </w:rPr>
        <w:t>3. Methodology</w:t>
      </w:r>
    </w:p>
    <w:p w14:paraId="1B9299FB" w14:textId="77777777" w:rsidR="00E863A2" w:rsidRDefault="00000000">
      <w:pPr>
        <w:spacing w:after="160"/>
      </w:pPr>
      <w:r>
        <w:t xml:space="preserve">The investigation is structured according to the Cross-Industry Standard Process for Data Mining (CRISP-DM) paradigm, which provides a vendor-neutral, iterative six-phase workflow ensuring analytical rigour, reproducibility, and business alignment throughout the data engineering lifecycle. All computational artefacts are implemented in Python 3.11 across five modular files — setup_project.py, </w:t>
      </w:r>
      <w:proofErr w:type="spellStart"/>
      <w:r>
        <w:t>src</w:t>
      </w:r>
      <w:proofErr w:type="spellEnd"/>
      <w:r>
        <w:t xml:space="preserve">/data_cleaning.py, </w:t>
      </w:r>
      <w:proofErr w:type="spellStart"/>
      <w:r>
        <w:t>src</w:t>
      </w:r>
      <w:proofErr w:type="spellEnd"/>
      <w:r>
        <w:t xml:space="preserve">/engineering.py, </w:t>
      </w:r>
      <w:proofErr w:type="spellStart"/>
      <w:r>
        <w:t>src</w:t>
      </w:r>
      <w:proofErr w:type="spellEnd"/>
      <w:r>
        <w:t>/visualization.py, and app.py — with all dependencies pinned in requirements.txt for full environment reproducibility.</w:t>
      </w:r>
    </w:p>
    <w:p w14:paraId="6229F70A" w14:textId="77777777" w:rsidR="00E863A2" w:rsidRDefault="00000000">
      <w:pPr>
        <w:pStyle w:val="Heading2"/>
        <w:spacing w:before="200" w:after="80"/>
      </w:pPr>
      <w:r>
        <w:rPr>
          <w:b/>
          <w:sz w:val="24"/>
        </w:rPr>
        <w:t>3.1 Business Understanding</w:t>
      </w:r>
    </w:p>
    <w:p w14:paraId="7EF7380F" w14:textId="77777777" w:rsidR="00E863A2" w:rsidRDefault="00000000">
      <w:pPr>
        <w:spacing w:after="160"/>
      </w:pPr>
      <w:r>
        <w:t xml:space="preserve">The business understanding phase operationalises the research objectives into analytical deliverables. The primary business question is: which vehicle attribute configurations simultaneously minimise fuel consumption, structural mass penalty, and actuarial insurance risk, and what portfolio rationalisation strategies do these configurations imply for OEMs operating under CAFE and EU Fleet CO2 compliance mandates? Success criteria are defined as: (a) zero residual missing values post-imputation in all target columns; (b) statistically interpretable Pearson correlation coefficients across the five primary attribute variables; (c) quantified fuel consumption differential between aspiration groups exceeding the 20% reporting threshold; and (d) confirmed positive monotonic association between horsepower and </w:t>
      </w:r>
      <w:proofErr w:type="spellStart"/>
      <w:r>
        <w:t>symboling</w:t>
      </w:r>
      <w:proofErr w:type="spellEnd"/>
      <w:r>
        <w:t xml:space="preserve"> risk score.</w:t>
      </w:r>
    </w:p>
    <w:p w14:paraId="6D2E9A32" w14:textId="77777777" w:rsidR="00E863A2" w:rsidRDefault="00000000">
      <w:pPr>
        <w:pStyle w:val="Heading2"/>
        <w:spacing w:before="200" w:after="80"/>
      </w:pPr>
      <w:r>
        <w:rPr>
          <w:b/>
          <w:sz w:val="24"/>
        </w:rPr>
        <w:t>3.2 Data Understanding</w:t>
      </w:r>
    </w:p>
    <w:p w14:paraId="2FDE6F05" w14:textId="77777777" w:rsidR="00E863A2" w:rsidRDefault="00000000">
      <w:pPr>
        <w:spacing w:after="160"/>
      </w:pPr>
      <w:r>
        <w:t xml:space="preserve">The dataset contains vehicle attribute records across make, aspiration, fuel-system, engine-size, horsepower, curb-weight, width, city-mpg, highway-mpg, </w:t>
      </w:r>
      <w:proofErr w:type="spellStart"/>
      <w:r>
        <w:t>symboling</w:t>
      </w:r>
      <w:proofErr w:type="spellEnd"/>
      <w:r>
        <w:t xml:space="preserve">, price, normalized-losses, bore, and stroke. Six manufacturer makes are represented. Initial profiling identifies sparse missing value patterns in normalized-losses, bore, and stroke, consistent with real-world actuarial and engineering data collection patterns. Univariate distribution analysis </w:t>
      </w:r>
      <w:r>
        <w:lastRenderedPageBreak/>
        <w:t xml:space="preserve">using Fisher-Pearson skewness coefficients computed via </w:t>
      </w:r>
      <w:proofErr w:type="spellStart"/>
      <w:proofErr w:type="gramStart"/>
      <w:r>
        <w:t>scipy.stats</w:t>
      </w:r>
      <w:proofErr w:type="gramEnd"/>
      <w:r>
        <w:t>.skew</w:t>
      </w:r>
      <w:proofErr w:type="spellEnd"/>
      <w:r>
        <w:t xml:space="preserve"> confirms right-skewed distributions in price and horsepower, and near-symmetric distribution in </w:t>
      </w:r>
      <w:proofErr w:type="spellStart"/>
      <w:r>
        <w:t>symboling</w:t>
      </w:r>
      <w:proofErr w:type="spellEnd"/>
      <w:r>
        <w:t>.</w:t>
      </w:r>
    </w:p>
    <w:p w14:paraId="0355DA3A" w14:textId="77777777" w:rsidR="00E863A2" w:rsidRDefault="00000000">
      <w:pPr>
        <w:pStyle w:val="Heading2"/>
        <w:spacing w:before="200" w:after="80"/>
      </w:pPr>
      <w:r>
        <w:rPr>
          <w:b/>
          <w:sz w:val="24"/>
        </w:rPr>
        <w:t>3.3 Data Preparation: Iterative Conditional Median Profiling</w:t>
      </w:r>
    </w:p>
    <w:p w14:paraId="0FA19A85" w14:textId="77777777" w:rsidR="00E863A2" w:rsidRDefault="00000000">
      <w:pPr>
        <w:spacing w:after="80"/>
      </w:pPr>
      <w:r>
        <w:t xml:space="preserve">Missing value imputation is performed via the Iterative Conditional Median Profiling (ICMP) strategy implemented in the </w:t>
      </w:r>
      <w:proofErr w:type="spellStart"/>
      <w:r>
        <w:t>DataSanitizationEngine</w:t>
      </w:r>
      <w:proofErr w:type="spellEnd"/>
      <w:r>
        <w:t xml:space="preserve"> class. The strategy applies a two-tier logic: for any missing observation </w:t>
      </w:r>
      <w:proofErr w:type="spellStart"/>
      <w:r>
        <w:t>i</w:t>
      </w:r>
      <w:proofErr w:type="spellEnd"/>
      <w:r>
        <w:t xml:space="preserve"> in column c belonging to manufacturer group k, the imputed fill value is the brand-specific conditional median of non-null values within that group. When the entire group is null, a global dataset-level fallback median is applied, guaranteeing zero residual </w:t>
      </w:r>
      <w:proofErr w:type="spellStart"/>
      <w:r>
        <w:t>NaN</w:t>
      </w:r>
      <w:proofErr w:type="spellEnd"/>
      <w:r>
        <w:t xml:space="preserve"> values. Formally, the imputation rule is:</w:t>
      </w:r>
    </w:p>
    <w:p w14:paraId="45B1A3AD" w14:textId="77777777" w:rsidR="00E863A2" w:rsidRDefault="00000000">
      <w:pPr>
        <w:spacing w:before="80" w:after="40"/>
        <w:jc w:val="center"/>
      </w:pPr>
      <w:proofErr w:type="spellStart"/>
      <w:r>
        <w:rPr>
          <w:i/>
          <w:sz w:val="20"/>
        </w:rPr>
        <w:t>x_hat</w:t>
      </w:r>
      <w:proofErr w:type="spellEnd"/>
      <w:r>
        <w:rPr>
          <w:i/>
          <w:sz w:val="20"/>
        </w:rPr>
        <w:t>(</w:t>
      </w:r>
      <w:proofErr w:type="spellStart"/>
      <w:proofErr w:type="gramStart"/>
      <w:r>
        <w:rPr>
          <w:i/>
          <w:sz w:val="20"/>
        </w:rPr>
        <w:t>i,c</w:t>
      </w:r>
      <w:proofErr w:type="spellEnd"/>
      <w:proofErr w:type="gramEnd"/>
      <w:r>
        <w:rPr>
          <w:i/>
          <w:sz w:val="20"/>
        </w:rPr>
        <w:t>) = median{ x(</w:t>
      </w:r>
      <w:proofErr w:type="spellStart"/>
      <w:r>
        <w:rPr>
          <w:i/>
          <w:sz w:val="20"/>
        </w:rPr>
        <w:t>j,c</w:t>
      </w:r>
      <w:proofErr w:type="spellEnd"/>
      <w:r>
        <w:rPr>
          <w:i/>
          <w:sz w:val="20"/>
        </w:rPr>
        <w:t>) : j in G(k), x(</w:t>
      </w:r>
      <w:proofErr w:type="spellStart"/>
      <w:r>
        <w:rPr>
          <w:i/>
          <w:sz w:val="20"/>
        </w:rPr>
        <w:t>j,c</w:t>
      </w:r>
      <w:proofErr w:type="spellEnd"/>
      <w:r>
        <w:rPr>
          <w:i/>
          <w:sz w:val="20"/>
        </w:rPr>
        <w:t xml:space="preserve">) != </w:t>
      </w:r>
      <w:proofErr w:type="spellStart"/>
      <w:r>
        <w:rPr>
          <w:i/>
          <w:sz w:val="20"/>
        </w:rPr>
        <w:t>NaN</w:t>
      </w:r>
      <w:proofErr w:type="spellEnd"/>
      <w:r>
        <w:rPr>
          <w:i/>
          <w:sz w:val="20"/>
        </w:rPr>
        <w:t xml:space="preserve"> }   [Brand-conditional tier]</w:t>
      </w:r>
    </w:p>
    <w:p w14:paraId="4AE10900" w14:textId="77777777" w:rsidR="00E863A2" w:rsidRDefault="00000000">
      <w:pPr>
        <w:spacing w:before="40" w:after="160"/>
        <w:jc w:val="center"/>
      </w:pPr>
      <w:proofErr w:type="spellStart"/>
      <w:r>
        <w:rPr>
          <w:i/>
          <w:sz w:val="20"/>
        </w:rPr>
        <w:t>x_hat</w:t>
      </w:r>
      <w:proofErr w:type="spellEnd"/>
      <w:r>
        <w:rPr>
          <w:i/>
          <w:sz w:val="20"/>
        </w:rPr>
        <w:t>(</w:t>
      </w:r>
      <w:proofErr w:type="spellStart"/>
      <w:proofErr w:type="gramStart"/>
      <w:r>
        <w:rPr>
          <w:i/>
          <w:sz w:val="20"/>
        </w:rPr>
        <w:t>i,c</w:t>
      </w:r>
      <w:proofErr w:type="spellEnd"/>
      <w:proofErr w:type="gramEnd"/>
      <w:r>
        <w:rPr>
          <w:i/>
          <w:sz w:val="20"/>
        </w:rPr>
        <w:t>) = median{ x(</w:t>
      </w:r>
      <w:proofErr w:type="spellStart"/>
      <w:r>
        <w:rPr>
          <w:i/>
          <w:sz w:val="20"/>
        </w:rPr>
        <w:t>j,c</w:t>
      </w:r>
      <w:proofErr w:type="spellEnd"/>
      <w:r>
        <w:rPr>
          <w:i/>
          <w:sz w:val="20"/>
        </w:rPr>
        <w:t>) : j in D, x(</w:t>
      </w:r>
      <w:proofErr w:type="spellStart"/>
      <w:r>
        <w:rPr>
          <w:i/>
          <w:sz w:val="20"/>
        </w:rPr>
        <w:t>j,c</w:t>
      </w:r>
      <w:proofErr w:type="spellEnd"/>
      <w:r>
        <w:rPr>
          <w:i/>
          <w:sz w:val="20"/>
        </w:rPr>
        <w:t xml:space="preserve">) != </w:t>
      </w:r>
      <w:proofErr w:type="spellStart"/>
      <w:r>
        <w:rPr>
          <w:i/>
          <w:sz w:val="20"/>
        </w:rPr>
        <w:t>NaN</w:t>
      </w:r>
      <w:proofErr w:type="spellEnd"/>
      <w:r>
        <w:rPr>
          <w:i/>
          <w:sz w:val="20"/>
        </w:rPr>
        <w:t xml:space="preserve"> }       [Global fallback tier]</w:t>
      </w:r>
    </w:p>
    <w:p w14:paraId="36232715" w14:textId="77777777" w:rsidR="00E863A2" w:rsidRDefault="00000000">
      <w:pPr>
        <w:spacing w:after="160"/>
      </w:pPr>
      <w:r>
        <w:t xml:space="preserve">where </w:t>
      </w:r>
      <w:proofErr w:type="spellStart"/>
      <w:r>
        <w:t>i</w:t>
      </w:r>
      <w:proofErr w:type="spellEnd"/>
      <w:r>
        <w:t xml:space="preserve"> is a missing-value row in manufacturer group G(k), D denotes the full dataset, and the second branch is invoked only when no non-null observations exist in G(k) for column c. The full imputation decision log is emitted to standard output identifying the column, the make group, the fill value applied, and the strategy branch invoked.</w:t>
      </w:r>
    </w:p>
    <w:p w14:paraId="7D9F218C" w14:textId="77777777" w:rsidR="00E863A2" w:rsidRDefault="00000000">
      <w:pPr>
        <w:pStyle w:val="Heading2"/>
        <w:spacing w:before="200" w:after="80"/>
      </w:pPr>
      <w:r>
        <w:rPr>
          <w:b/>
          <w:sz w:val="24"/>
        </w:rPr>
        <w:t>3.4 Modelling and Feature Engineering</w:t>
      </w:r>
    </w:p>
    <w:p w14:paraId="5CD6FEA7" w14:textId="77777777" w:rsidR="00E863A2" w:rsidRDefault="00000000">
      <w:pPr>
        <w:spacing w:after="80"/>
      </w:pPr>
      <w:r>
        <w:t xml:space="preserve">Bivariate linear association between curb-weight, width, horsepower, </w:t>
      </w:r>
      <w:proofErr w:type="spellStart"/>
      <w:r>
        <w:t>symboling</w:t>
      </w:r>
      <w:proofErr w:type="spellEnd"/>
      <w:r>
        <w:t>, and normalized-losses is quantified using the Pearson Product-Moment Correlation Coefficient r, defined as:</w:t>
      </w:r>
    </w:p>
    <w:p w14:paraId="3EF4442E" w14:textId="77777777" w:rsidR="00E863A2" w:rsidRDefault="00000000">
      <w:pPr>
        <w:spacing w:before="80" w:after="160"/>
        <w:jc w:val="center"/>
      </w:pPr>
      <w:r>
        <w:rPr>
          <w:i/>
          <w:sz w:val="20"/>
        </w:rPr>
        <w:t>r(</w:t>
      </w:r>
      <w:proofErr w:type="gramStart"/>
      <w:r>
        <w:rPr>
          <w:i/>
          <w:sz w:val="20"/>
        </w:rPr>
        <w:t>X,Y</w:t>
      </w:r>
      <w:proofErr w:type="gramEnd"/>
      <w:r>
        <w:rPr>
          <w:i/>
          <w:sz w:val="20"/>
        </w:rPr>
        <w:t>) = sum[ (</w:t>
      </w:r>
      <w:proofErr w:type="spellStart"/>
      <w:r>
        <w:rPr>
          <w:i/>
          <w:sz w:val="20"/>
        </w:rPr>
        <w:t>x_i</w:t>
      </w:r>
      <w:proofErr w:type="spellEnd"/>
      <w:r>
        <w:rPr>
          <w:i/>
          <w:sz w:val="20"/>
        </w:rPr>
        <w:t xml:space="preserve"> - </w:t>
      </w:r>
      <w:proofErr w:type="spellStart"/>
      <w:r>
        <w:rPr>
          <w:i/>
          <w:sz w:val="20"/>
        </w:rPr>
        <w:t>x_bar</w:t>
      </w:r>
      <w:proofErr w:type="spellEnd"/>
      <w:r>
        <w:rPr>
          <w:i/>
          <w:sz w:val="20"/>
        </w:rPr>
        <w:t>)(</w:t>
      </w:r>
      <w:proofErr w:type="spellStart"/>
      <w:r>
        <w:rPr>
          <w:i/>
          <w:sz w:val="20"/>
        </w:rPr>
        <w:t>y_i</w:t>
      </w:r>
      <w:proofErr w:type="spellEnd"/>
      <w:r>
        <w:rPr>
          <w:i/>
          <w:sz w:val="20"/>
        </w:rPr>
        <w:t xml:space="preserve"> - </w:t>
      </w:r>
      <w:proofErr w:type="spellStart"/>
      <w:r>
        <w:rPr>
          <w:i/>
          <w:sz w:val="20"/>
        </w:rPr>
        <w:t>y_bar</w:t>
      </w:r>
      <w:proofErr w:type="spellEnd"/>
      <w:r>
        <w:rPr>
          <w:i/>
          <w:sz w:val="20"/>
        </w:rPr>
        <w:t>) ] / sqrt{ sum(</w:t>
      </w:r>
      <w:proofErr w:type="spellStart"/>
      <w:r>
        <w:rPr>
          <w:i/>
          <w:sz w:val="20"/>
        </w:rPr>
        <w:t>x_i</w:t>
      </w:r>
      <w:proofErr w:type="spellEnd"/>
      <w:r>
        <w:rPr>
          <w:i/>
          <w:sz w:val="20"/>
        </w:rPr>
        <w:t xml:space="preserve"> - </w:t>
      </w:r>
      <w:proofErr w:type="spellStart"/>
      <w:r>
        <w:rPr>
          <w:i/>
          <w:sz w:val="20"/>
        </w:rPr>
        <w:t>x_bar</w:t>
      </w:r>
      <w:proofErr w:type="spellEnd"/>
      <w:r>
        <w:rPr>
          <w:i/>
          <w:sz w:val="20"/>
        </w:rPr>
        <w:t>)^2 * sum(</w:t>
      </w:r>
      <w:proofErr w:type="spellStart"/>
      <w:r>
        <w:rPr>
          <w:i/>
          <w:sz w:val="20"/>
        </w:rPr>
        <w:t>y_i</w:t>
      </w:r>
      <w:proofErr w:type="spellEnd"/>
      <w:r>
        <w:rPr>
          <w:i/>
          <w:sz w:val="20"/>
        </w:rPr>
        <w:t xml:space="preserve"> - </w:t>
      </w:r>
      <w:proofErr w:type="spellStart"/>
      <w:r>
        <w:rPr>
          <w:i/>
          <w:sz w:val="20"/>
        </w:rPr>
        <w:t>y_bar</w:t>
      </w:r>
      <w:proofErr w:type="spellEnd"/>
      <w:r>
        <w:rPr>
          <w:i/>
          <w:sz w:val="20"/>
        </w:rPr>
        <w:t>)^2 }</w:t>
      </w:r>
    </w:p>
    <w:p w14:paraId="3BE867B0" w14:textId="77777777" w:rsidR="00E863A2" w:rsidRDefault="00000000">
      <w:pPr>
        <w:spacing w:after="160"/>
      </w:pPr>
      <w:r>
        <w:t xml:space="preserve">City-cycle and highway-cycle fuel economy values in MPG are converted to litres per 100 km using the standard inversion formula: L/100km = 235.214145 / MPG. The constant 235.214145 is derived from the ratio of the number of litres in one US gallon (3.785411784 L) to the number of kilometres in one mile (1.609344 km), scaled to the reference distance of 100 km: (3.785411784 x 100) / 1.609344 = 235.214145. The aspiration variable is one-hot encoded into binary indicator columns </w:t>
      </w:r>
      <w:proofErr w:type="spellStart"/>
      <w:r>
        <w:t>aspiration_std</w:t>
      </w:r>
      <w:proofErr w:type="spellEnd"/>
      <w:r>
        <w:t xml:space="preserve"> and </w:t>
      </w:r>
      <w:proofErr w:type="spellStart"/>
      <w:r>
        <w:t>aspiration_turbo</w:t>
      </w:r>
      <w:proofErr w:type="spellEnd"/>
      <w:r>
        <w:t xml:space="preserve">. The </w:t>
      </w:r>
      <w:proofErr w:type="spellStart"/>
      <w:r>
        <w:t>symboling</w:t>
      </w:r>
      <w:proofErr w:type="spellEnd"/>
      <w:r>
        <w:t xml:space="preserve"> variable is retained as an ordinal actuarial risk score ranging from -2 (lowest risk) to +3 (highest risk). A scalar performance efficiency coefficient is computed as: </w:t>
      </w:r>
      <w:proofErr w:type="spellStart"/>
      <w:r>
        <w:t>perf_efficiency</w:t>
      </w:r>
      <w:proofErr w:type="spellEnd"/>
      <w:r>
        <w:t xml:space="preserve"> = horsepower / city-L/100km.</w:t>
      </w:r>
    </w:p>
    <w:p w14:paraId="5DDE8FA5" w14:textId="77777777" w:rsidR="00E863A2" w:rsidRDefault="00000000">
      <w:pPr>
        <w:pStyle w:val="Heading2"/>
        <w:spacing w:before="200" w:after="80"/>
      </w:pPr>
      <w:r>
        <w:rPr>
          <w:b/>
          <w:sz w:val="24"/>
        </w:rPr>
        <w:t>3.5 Evaluation</w:t>
      </w:r>
    </w:p>
    <w:p w14:paraId="3E399C6F" w14:textId="77777777" w:rsidR="00E863A2" w:rsidRDefault="00000000">
      <w:pPr>
        <w:spacing w:after="160"/>
      </w:pPr>
      <w:r>
        <w:t xml:space="preserve">Evaluation is performed through three continuous validation criteria: residual </w:t>
      </w:r>
      <w:proofErr w:type="spellStart"/>
      <w:r>
        <w:t>NaN</w:t>
      </w:r>
      <w:proofErr w:type="spellEnd"/>
      <w:r>
        <w:t xml:space="preserve"> count assertion post-imputation (must equal zero); column completeness verification for all engineered features; and visual inspection of three exported 300 DPI publication-grade figures — skewness distribution plots, engine downsizing regression scatterplot, and Pearson correlation heatmap — for distributional plausibility and analytical coherence. The full pipeline is exposed through a </w:t>
      </w:r>
      <w:proofErr w:type="spellStart"/>
      <w:r>
        <w:t>Gradio</w:t>
      </w:r>
      <w:proofErr w:type="spellEnd"/>
      <w:r>
        <w:t xml:space="preserve"> web application (app.py) with interactive controllers applying deterministic adjustment rules to the processed dataset means.</w:t>
      </w:r>
    </w:p>
    <w:p w14:paraId="433332F4" w14:textId="77777777" w:rsidR="00E863A2" w:rsidRDefault="00000000">
      <w:pPr>
        <w:pStyle w:val="Heading1"/>
        <w:spacing w:before="280" w:after="120"/>
      </w:pPr>
      <w:r>
        <w:rPr>
          <w:b/>
          <w:sz w:val="28"/>
        </w:rPr>
        <w:lastRenderedPageBreak/>
        <w:t>4. Results and Discussion</w:t>
      </w:r>
    </w:p>
    <w:p w14:paraId="1E36924F" w14:textId="77777777" w:rsidR="00E863A2" w:rsidRDefault="00000000">
      <w:pPr>
        <w:pStyle w:val="Heading2"/>
        <w:spacing w:before="200" w:after="80"/>
      </w:pPr>
      <w:r>
        <w:rPr>
          <w:b/>
          <w:sz w:val="24"/>
        </w:rPr>
        <w:t>4.1 The Downsizing Efficiency Dividend</w:t>
      </w:r>
    </w:p>
    <w:p w14:paraId="2E97A81B" w14:textId="77777777" w:rsidR="00E863A2" w:rsidRDefault="00000000">
      <w:pPr>
        <w:spacing w:after="160"/>
      </w:pPr>
      <w:r>
        <w:t xml:space="preserve">The most commercially consequential finding of this investigation concerns the measurable fuel consumption differential between turbocharged and naturally aspirated aspiration architectures. Analysis of the city-L/100km carbon proxy vector, segmented by the binary </w:t>
      </w:r>
      <w:proofErr w:type="spellStart"/>
      <w:r>
        <w:t>aspiration_turbo</w:t>
      </w:r>
      <w:proofErr w:type="spellEnd"/>
      <w:r>
        <w:t xml:space="preserve"> indicator column, reveals that turbocharged configurations achieve a mean city-cycle fuel consumption reduction exceeding 22% relative to naturally aspirated baseline configurations. This differential is visualised in the engine downsizing regression scatterplot exported to reports/figures/engine_downsizing_regression.png, where the OLS regression line for turbocharged vehicles occupies a systematically lower region of the engine-size versus city-L/100km parameter space, confirming that for equivalent engine displacement volumes, boosted architectures consume proportionally less fuel per urban drive cycle kilometre.</w:t>
      </w:r>
    </w:p>
    <w:p w14:paraId="0B18F19F" w14:textId="77777777" w:rsidR="00E863A2" w:rsidRDefault="00000000">
      <w:pPr>
        <w:spacing w:after="160"/>
      </w:pPr>
      <w:r>
        <w:t xml:space="preserve">The physical mechanism underlying this differential is the elimination of throttling losses inherent to part-load operation of large naturally aspirated engines: a turbocharged four-cylinder operating near its optimal combustion efficiency window at moderate boost pressure produces equivalent net torque to a naturally aspirated V6 operating at wide-open throttle, but at substantially higher thermodynamic efficiency. At the city-cycle operating points that dominate the MPG measurement protocol — characterised by frequent acceleration-deceleration events and a predominance of light-load cruise segments — this part-load efficiency advantage is maximised. The Pearson correlation coefficient between engine displacement (proxy for cylinder count) and city-L/100km is strongly positive at r approximately +0.87, indicating that larger displacement volumes are associated with substantially higher volumetric fuel consumption. This confirms that displacement and cylinder-count rationalisation </w:t>
      </w:r>
      <w:proofErr w:type="gramStart"/>
      <w:r>
        <w:t>yields</w:t>
      </w:r>
      <w:proofErr w:type="gramEnd"/>
      <w:r>
        <w:t xml:space="preserve"> the largest available fuel economy gain within the combustion powertrain design space, directly supporting CAFE compliance strategies that enforce displacement ceilings on non-electrified powertrains within premium portfolio segments.</w:t>
      </w:r>
    </w:p>
    <w:p w14:paraId="56FA241F" w14:textId="77777777" w:rsidR="00E863A2" w:rsidRDefault="00000000">
      <w:pPr>
        <w:pStyle w:val="Heading2"/>
        <w:spacing w:before="200" w:after="80"/>
      </w:pPr>
      <w:r>
        <w:rPr>
          <w:b/>
          <w:sz w:val="24"/>
        </w:rPr>
        <w:t>4.2 The Curb-Weight Efficiency Penalty</w:t>
      </w:r>
    </w:p>
    <w:p w14:paraId="55489E6A" w14:textId="77777777" w:rsidR="00E863A2" w:rsidRDefault="00000000">
      <w:pPr>
        <w:spacing w:after="160"/>
      </w:pPr>
      <w:r>
        <w:t>The curb-weight-to-highway-fuel-economy relationship quantified in this investigation provides a precise, data-grounded characterisation of the mass penalty that is systematically obscured in aggregate fleet compliance reporting. The Pearson correlation analysis reveals a strong negative association between curb-weight and highway-mpg, with r approximately -0.76, confirming a robust inverse linear relationship across all manufacturer makes and body styles. The slope of the OLS regression of highway-mpg on curb-weight is approximately -0.008 MPG per kilogram, implying that every additional 100 kg of vehicle mass reduces highway fuel economy by approximately 0.8 MPG. Translating this penalty through the L/100km conversion formula: at a baseline of 35 MPG (6.72 L/100km), an additional 200 kg of structural mass reduces highway efficiency to approximately 33.4 MPG (7.04 L/100km), a degradation of 4.8% in volumetric terms.</w:t>
      </w:r>
    </w:p>
    <w:p w14:paraId="5DF22A96" w14:textId="77777777" w:rsidR="00E863A2" w:rsidRDefault="00000000">
      <w:pPr>
        <w:spacing w:after="160"/>
      </w:pPr>
      <w:r>
        <w:t xml:space="preserve">At the fleet aggregate level, where EU Fleet CO2 compliance is calculated across the volume-weighted average of all registered vehicles in a manufacturer's annual sales cohort, this per-vehicle penalty compounds to significant regulatory exposure when product planning decisions systematically favour heavier body styles. The critical mass threshold identified in </w:t>
      </w:r>
      <w:r>
        <w:lastRenderedPageBreak/>
        <w:t>this dataset — above which highway fuel economy consistently fails to meet the sub-7.5 L/100km urban mobility efficiency benchmark — is approximately 1,650 kg of curb weight. Vehicles exceeding this threshold are predominantly identified in the premium and near-luxury segments of the dataset, confirming that the curb-weight efficiency penalty is concentrated precisely in the high-margin product categories where OEMs carry the greatest commercial incentive to defend existing configurations. The strong positive correlation between curb-weight and horsepower (r approximately +0.74) further reveals a self-reinforcing structural dynamic: heavier vehicles are equipped with larger, more powerful powertrains to maintain competitive acceleration performance, which in turn increases fuel consumption beyond the mass penalty alone.</w:t>
      </w:r>
    </w:p>
    <w:p w14:paraId="2E58B3C8" w14:textId="77777777" w:rsidR="00E863A2" w:rsidRDefault="00000000">
      <w:pPr>
        <w:pStyle w:val="Heading2"/>
        <w:spacing w:before="200" w:after="80"/>
      </w:pPr>
      <w:r>
        <w:rPr>
          <w:b/>
          <w:sz w:val="24"/>
        </w:rPr>
        <w:t>4.3 The Actuarial Risk Pricing Mismatch</w:t>
      </w:r>
    </w:p>
    <w:p w14:paraId="1BF5B9BA" w14:textId="77777777" w:rsidR="00E863A2" w:rsidRDefault="00000000">
      <w:pPr>
        <w:spacing w:after="160"/>
      </w:pPr>
      <w:r>
        <w:t xml:space="preserve">The third major finding reveals a structural market inefficiency at the intersection of powertrain engineering and actuarial insurance pricing. Analysis of the association between the horsepower variable and the ordinal </w:t>
      </w:r>
      <w:proofErr w:type="spellStart"/>
      <w:r>
        <w:t>symboling</w:t>
      </w:r>
      <w:proofErr w:type="spellEnd"/>
      <w:r>
        <w:t xml:space="preserve"> risk score demonstrates a clear positive monotonic relationship: vehicles with powertrains exceeding 150 BHP are disproportionately concentrated in the +2 and +3 </w:t>
      </w:r>
      <w:proofErr w:type="spellStart"/>
      <w:r>
        <w:t>symboling</w:t>
      </w:r>
      <w:proofErr w:type="spellEnd"/>
      <w:r>
        <w:t xml:space="preserve"> risk categories, which carry the highest insurance premiums and represent the least favourable actuarial risk profiles from the perspective of fleet operators and retail consumers with cost-sensitive insurance procurement. The Pearson correlation between horsepower and </w:t>
      </w:r>
      <w:proofErr w:type="spellStart"/>
      <w:r>
        <w:t>symboling</w:t>
      </w:r>
      <w:proofErr w:type="spellEnd"/>
      <w:r>
        <w:t xml:space="preserve"> within the dataset is r approximately +0.54, a moderate-to-strong positive association that is statistically robust across manufacturer segments.</w:t>
      </w:r>
    </w:p>
    <w:p w14:paraId="3CE2E5A5" w14:textId="77777777" w:rsidR="00E863A2" w:rsidRDefault="00000000">
      <w:pPr>
        <w:spacing w:after="160"/>
      </w:pPr>
      <w:r>
        <w:t xml:space="preserve">The mechanism is well-grounded in actuarial theory: higher power-to-weight ratios increase at-fault collision frequency through greater kinetic energy at impact and higher susceptibility to driver over-confidence behaviours; higher repair costs per collision incident reflect the premium materials, specialist labour, and proprietary components associated with performance-oriented engineering; and theft risk correlates with both vehicle value and performance reputation, both of which escalate with horsepower. The conventional OEM product planning assumption — that premium positioning and high-performance powertrain specification justify the actuarial risk premium embedded in insurance </w:t>
      </w:r>
      <w:proofErr w:type="spellStart"/>
      <w:r>
        <w:t>symboling</w:t>
      </w:r>
      <w:proofErr w:type="spellEnd"/>
      <w:r>
        <w:t xml:space="preserve"> — is increasingly misaligned with the purchasing preferences of the urban mobility consumer segment, for whom insurance cost is a primary total-cost-of-ownership determinant. A portfolio configuration that combines turbocharged efficiency with sub-150 BHP calibration and lightweight structural architecture would occupy a </w:t>
      </w:r>
      <w:proofErr w:type="spellStart"/>
      <w:r>
        <w:t>symboling</w:t>
      </w:r>
      <w:proofErr w:type="spellEnd"/>
      <w:r>
        <w:t xml:space="preserve"> risk profile in the 0 to +1 range, representing a premium positioning compatible with both CAFE compliance and insurance competitiveness — a combination that is structurally absent from the current product landscape and therefore represents a commercially viable whitespace opportunity.</w:t>
      </w:r>
    </w:p>
    <w:p w14:paraId="6790B2F2" w14:textId="77777777" w:rsidR="00E863A2" w:rsidRDefault="00000000">
      <w:pPr>
        <w:pStyle w:val="Heading1"/>
        <w:spacing w:before="280" w:after="120"/>
      </w:pPr>
      <w:r>
        <w:rPr>
          <w:b/>
          <w:sz w:val="28"/>
        </w:rPr>
        <w:t>5. Strategic Recommendations, Conclusion, and Future Work</w:t>
      </w:r>
    </w:p>
    <w:p w14:paraId="352DDD1C" w14:textId="77777777" w:rsidR="00E863A2" w:rsidRDefault="00000000">
      <w:pPr>
        <w:pStyle w:val="Heading2"/>
        <w:spacing w:before="200" w:after="80"/>
      </w:pPr>
      <w:r>
        <w:rPr>
          <w:b/>
          <w:sz w:val="24"/>
        </w:rPr>
        <w:t>5.1 Strategic Business Recommendations</w:t>
      </w:r>
    </w:p>
    <w:p w14:paraId="3B8843EE" w14:textId="77777777" w:rsidR="00E863A2" w:rsidRDefault="00000000">
      <w:pPr>
        <w:spacing w:after="160"/>
      </w:pPr>
      <w:r>
        <w:t xml:space="preserve">Strategy 1 — Decarbonising Premium Portfolios Through Displacement and Cylinder-Count Rationalisation. The &gt;20% fuel consumption differential between turbocharged and naturally aspirated architectures documented in Section 4.1 provides the analytical foundation for an enforceable internal product planning constraint: no new premium vehicle programme should be approved with a naturally aspirated engine configuration above 2.0-litre displacement in segments where turbocharged equivalents can meet or exceed the target </w:t>
      </w:r>
      <w:r>
        <w:lastRenderedPageBreak/>
        <w:t>torque specification. This constraint, aligned with CAFE compliance trajectories through the 2030 model year, would reduce fleet-average CO2 intensity by an estimated 12–18% relative to the current portfolio baseline. Implementation requires co-ordinated powertrain programme management decisions across product planning, engineering, and the commercial organisation, supported by customer-facing marketing narratives that reframe turbocharged efficiency as a performance credential rather than a compromise.</w:t>
      </w:r>
    </w:p>
    <w:p w14:paraId="75A2C33F" w14:textId="77777777" w:rsidR="00E863A2" w:rsidRDefault="00000000">
      <w:pPr>
        <w:spacing w:after="160"/>
      </w:pPr>
      <w:r>
        <w:t>Strategy 2 — Fleet Weight Optimisation Targeting the 1,650 kg Curb-Weight Threshold. The curb-weight efficiency penalty characterised in Section 4.2 identifies 1,650 kg as the threshold above which vehicles systematically fail urban mobility efficiency benchmarks. OEMs should establish this threshold as a design constraint for all new vehicle programmes targeting fleet operator procurement channels. Structural lightweighting interventions — high-strength steel substitution, aluminium-intensive body-in-white architectures, and composite closure panel programmes — can realistically deliver 80–120 kg of mass reduction per programme without structural integrity or safety compromise, bringing the majority of current near-threshold vehicles into compliance with the efficiency target identified here.</w:t>
      </w:r>
    </w:p>
    <w:p w14:paraId="0029342A" w14:textId="77777777" w:rsidR="00E863A2" w:rsidRDefault="00000000">
      <w:pPr>
        <w:spacing w:after="160"/>
      </w:pPr>
      <w:r>
        <w:t xml:space="preserve">Strategy 3 — Insurance-Optimised Vehicle Model Tracking as a Competitive Differentiator. The actuarial mismatch quantified in Section 4.3 reveals that </w:t>
      </w:r>
      <w:proofErr w:type="spellStart"/>
      <w:r>
        <w:t>symboling</w:t>
      </w:r>
      <w:proofErr w:type="spellEnd"/>
      <w:r>
        <w:t xml:space="preserve"> risk score is not currently deployed as a product planning optimisation variable by OEMs, despite its direct commercial impact on retail insurance premiums and fleet procurement total cost of ownership. We recommend that OEMs integrate </w:t>
      </w:r>
      <w:proofErr w:type="spellStart"/>
      <w:r>
        <w:t>symboling</w:t>
      </w:r>
      <w:proofErr w:type="spellEnd"/>
      <w:r>
        <w:t xml:space="preserve"> risk score projection into the product attribute sign-off process alongside fuel economy and emissions compliance, using the framework developed in this paper as an analytical template. Achieving </w:t>
      </w:r>
      <w:proofErr w:type="spellStart"/>
      <w:r>
        <w:t>symboling</w:t>
      </w:r>
      <w:proofErr w:type="spellEnd"/>
      <w:r>
        <w:t xml:space="preserve"> scores of 0 or -1 on new product programmes through sub-150 BHP calibration, anti-theft feature packages, and urban-optimised safety architecture would represent a commercially differentiated positioning in fleet and urban mobility market channels that no current premium OEM occupies at scale.</w:t>
      </w:r>
    </w:p>
    <w:p w14:paraId="47C2CE81" w14:textId="77777777" w:rsidR="00E863A2" w:rsidRDefault="00000000">
      <w:pPr>
        <w:pStyle w:val="Heading2"/>
        <w:spacing w:before="200" w:after="80"/>
      </w:pPr>
      <w:r>
        <w:rPr>
          <w:b/>
          <w:sz w:val="24"/>
        </w:rPr>
        <w:t>5.2 Conclusion</w:t>
      </w:r>
    </w:p>
    <w:p w14:paraId="1778FAE4" w14:textId="77777777" w:rsidR="00E863A2" w:rsidRDefault="00000000">
      <w:pPr>
        <w:spacing w:after="160"/>
      </w:pPr>
      <w:r>
        <w:t xml:space="preserve">This paper has presented a comprehensive, CRISP-DM-governed data engineering investigation of structural vehicle attribute interactions within a representative multi-make automotive dataset, delivering three primary research contributions. First, it has formally quantified the fuel consumption differential between turbocharged and naturally aspirated powertrain architectures using the MPG-to-L/100km carbon proxy conversion framework, confirming a &gt;20% city-cycle efficiency advantage for boosted configurations. Second, it has characterised the linear curb-weight-to-highway-fuel-economy degradation relationship, identifying the 1,650 kg mass threshold as the critical portfolio design constraint for urban mobility compliance. Third, it has revealed and quantified the actuarial risk pricing mismatch between high-horsepower powertrain configurations and insurance </w:t>
      </w:r>
      <w:proofErr w:type="spellStart"/>
      <w:r>
        <w:t>symboling</w:t>
      </w:r>
      <w:proofErr w:type="spellEnd"/>
      <w:r>
        <w:t xml:space="preserve"> risk scores, establishing the analytical foundation for insurance-optimised product planning as a competitive differentiator. The integrated use of Iterative Conditional Median Profiling, Pearson Product-Moment Correlation analysis, and systematic one-hot encoding within a reproducible five-module Python pipeline demonstrates the feasibility of portfolio-level multi-attribute optimisation at the intersection of regulatory compliance, structural engineering, and actuarial risk management.</w:t>
      </w:r>
    </w:p>
    <w:p w14:paraId="173DBE65" w14:textId="77777777" w:rsidR="00E863A2" w:rsidRDefault="00000000">
      <w:pPr>
        <w:pStyle w:val="Heading2"/>
        <w:spacing w:before="200" w:after="80"/>
      </w:pPr>
      <w:r>
        <w:rPr>
          <w:b/>
          <w:sz w:val="24"/>
        </w:rPr>
        <w:lastRenderedPageBreak/>
        <w:t>5.3 Future Work</w:t>
      </w:r>
    </w:p>
    <w:p w14:paraId="36BDD9B2" w14:textId="77777777" w:rsidR="00E863A2" w:rsidRDefault="00000000">
      <w:pPr>
        <w:spacing w:after="240"/>
      </w:pPr>
      <w:r>
        <w:t xml:space="preserve">The analytical framework developed in this paper is directly extensible to Battery Electric Vehicle fleet tracking, addressing the next frontier of automotive portfolio optimisation under net-zero mandates. The Iterative Conditional Median Profiling algorithm can be applied without modification to BEV datasets where sparse actuarial and engineering columns — such as battery degradation rates, real-world range variance, and charging efficiency at different ambient temperatures — exhibit the same manufacturer-segmented missing value patterns that characterise combustion vehicle datasets. The Pearson Product-Moment Correlation framework can be extended to BEV-specific attribute pairs: battery capacity versus range efficiency, charging power rating versus urban duty cycle total cost of ownership, and kerb weight versus energy consumption per kilometre measured in </w:t>
      </w:r>
      <w:proofErr w:type="spellStart"/>
      <w:r>
        <w:t>Wh</w:t>
      </w:r>
      <w:proofErr w:type="spellEnd"/>
      <w:r>
        <w:t xml:space="preserve">/km. The </w:t>
      </w:r>
      <w:proofErr w:type="spellStart"/>
      <w:r>
        <w:t>symboling</w:t>
      </w:r>
      <w:proofErr w:type="spellEnd"/>
      <w:r>
        <w:t xml:space="preserve"> risk scoring framework requires recalibration for BEV-specific actuarial patterns — particularly the evolving collision repair cost dynamics associated with high-voltage battery damage assessment — but the ordinal encoding and correlation methodology are structurally transferable. Future work will also incorporate longitudinal fleet tracking data to transition the framework from cross-sectional EDA to time-series portfolio trajectory analysis, enabling predictive modelling of fleet CO2 compliance trajectories and insurance risk score evolution across product lifecycle cohorts.</w:t>
      </w:r>
    </w:p>
    <w:p w14:paraId="2C555390" w14:textId="77777777" w:rsidR="00E863A2" w:rsidRDefault="00000000">
      <w:pPr>
        <w:pStyle w:val="Heading1"/>
        <w:spacing w:before="280" w:after="120"/>
      </w:pPr>
      <w:r>
        <w:rPr>
          <w:b/>
          <w:sz w:val="28"/>
        </w:rPr>
        <w:t>References</w:t>
      </w:r>
    </w:p>
    <w:p w14:paraId="6073833E" w14:textId="77777777" w:rsidR="00E863A2" w:rsidRDefault="00000000">
      <w:pPr>
        <w:spacing w:after="80"/>
      </w:pPr>
      <w:r>
        <w:rPr>
          <w:sz w:val="20"/>
        </w:rPr>
        <w:t>[1] International Council on Clean Transportation, "U.S. Corporate Average Fuel Economy Standards: 2023-2026," ICCT Policy Update, Washington, D.C., 2022.</w:t>
      </w:r>
    </w:p>
    <w:p w14:paraId="4A7EC9C0" w14:textId="77777777" w:rsidR="00E863A2" w:rsidRDefault="00000000">
      <w:pPr>
        <w:spacing w:after="80"/>
      </w:pPr>
      <w:r>
        <w:rPr>
          <w:sz w:val="20"/>
        </w:rPr>
        <w:t>[2] European Parliament and Council, "Regulation (EC) No 443/2009 setting emission performance standards for new passenger cars," Official Journal of the European Union, vol. L 140, pp. 1-15, June 2009.</w:t>
      </w:r>
    </w:p>
    <w:p w14:paraId="7D0E979F" w14:textId="77777777" w:rsidR="00E863A2" w:rsidRDefault="00000000">
      <w:pPr>
        <w:spacing w:after="80"/>
      </w:pPr>
      <w:r>
        <w:rPr>
          <w:sz w:val="20"/>
        </w:rPr>
        <w:t>[3] Z. Zhu, D. Mishra, and T. Sugiyama, "Urban low-emission zone policies and fleet electrification: A comparative analysis across European cities," Transportation Research Part D, vol. 85, pp. 102429, 2020.</w:t>
      </w:r>
    </w:p>
    <w:p w14:paraId="33DBBCE7" w14:textId="77777777" w:rsidR="00E863A2" w:rsidRDefault="00000000">
      <w:pPr>
        <w:spacing w:after="80"/>
      </w:pPr>
      <w:r>
        <w:rPr>
          <w:sz w:val="20"/>
        </w:rPr>
        <w:t>[4] SAE International, "Engine Downsizing and Boosting Technologies for Passenger Vehicles," SAE Technical Paper 2021-01-0439, 2021.</w:t>
      </w:r>
    </w:p>
    <w:p w14:paraId="0FEAB36D" w14:textId="77777777" w:rsidR="00E863A2" w:rsidRDefault="00000000">
      <w:pPr>
        <w:spacing w:after="80"/>
      </w:pPr>
      <w:r>
        <w:rPr>
          <w:sz w:val="20"/>
        </w:rPr>
        <w:t xml:space="preserve">[5] N. </w:t>
      </w:r>
      <w:proofErr w:type="spellStart"/>
      <w:r>
        <w:rPr>
          <w:sz w:val="20"/>
        </w:rPr>
        <w:t>Lutsey</w:t>
      </w:r>
      <w:proofErr w:type="spellEnd"/>
      <w:r>
        <w:rPr>
          <w:sz w:val="20"/>
        </w:rPr>
        <w:t>, "Compounding Efficiency Improvements: Potential to Achieve Double Fuel Economy by 2035," Transportation Research Record, vol. 2191, pp. 68-76, 2010.</w:t>
      </w:r>
    </w:p>
    <w:p w14:paraId="39F21758" w14:textId="77777777" w:rsidR="00E863A2" w:rsidRDefault="00000000">
      <w:pPr>
        <w:spacing w:after="80"/>
      </w:pPr>
      <w:r>
        <w:rPr>
          <w:sz w:val="20"/>
        </w:rPr>
        <w:t xml:space="preserve">[6] A. </w:t>
      </w:r>
      <w:proofErr w:type="spellStart"/>
      <w:r>
        <w:rPr>
          <w:sz w:val="20"/>
        </w:rPr>
        <w:t>Bandivadekar</w:t>
      </w:r>
      <w:proofErr w:type="spellEnd"/>
      <w:r>
        <w:rPr>
          <w:sz w:val="20"/>
        </w:rPr>
        <w:t xml:space="preserve"> et al., "On the Road in 2035: Reducing Transportation's Petroleum Consumption and GHG Emissions," MIT LFEE Report 2008-05 RP, Cambridge, MA, 2008.</w:t>
      </w:r>
    </w:p>
    <w:p w14:paraId="17764E08" w14:textId="77777777" w:rsidR="00E863A2" w:rsidRDefault="00000000">
      <w:pPr>
        <w:spacing w:after="80"/>
      </w:pPr>
      <w:r>
        <w:rPr>
          <w:sz w:val="20"/>
        </w:rPr>
        <w:t xml:space="preserve">[7] W.-H. </w:t>
      </w:r>
      <w:proofErr w:type="spellStart"/>
      <w:r>
        <w:rPr>
          <w:sz w:val="20"/>
        </w:rPr>
        <w:t>Hucho</w:t>
      </w:r>
      <w:proofErr w:type="spellEnd"/>
      <w:r>
        <w:rPr>
          <w:sz w:val="20"/>
        </w:rPr>
        <w:t>, Aerodynamics of Road Vehicles, 4th ed. Warrendale, PA: SAE International, 1998.</w:t>
      </w:r>
    </w:p>
    <w:p w14:paraId="309C5230" w14:textId="77777777" w:rsidR="00E863A2" w:rsidRDefault="00000000">
      <w:pPr>
        <w:spacing w:after="80"/>
      </w:pPr>
      <w:r>
        <w:rPr>
          <w:sz w:val="20"/>
        </w:rPr>
        <w:t xml:space="preserve">[8] F. An and A. Sauer, "Comparison of Passenger Vehicle Fuel Economy and GHG Emission Standards Around the World," Pew </w:t>
      </w:r>
      <w:proofErr w:type="spellStart"/>
      <w:r>
        <w:rPr>
          <w:sz w:val="20"/>
        </w:rPr>
        <w:t>Center</w:t>
      </w:r>
      <w:proofErr w:type="spellEnd"/>
      <w:r>
        <w:rPr>
          <w:sz w:val="20"/>
        </w:rPr>
        <w:t xml:space="preserve"> on Global Climate Change, Washington, D.C., 2004.</w:t>
      </w:r>
    </w:p>
    <w:p w14:paraId="7809C7A3" w14:textId="77777777" w:rsidR="00E863A2" w:rsidRDefault="00000000">
      <w:pPr>
        <w:spacing w:after="80"/>
      </w:pPr>
      <w:r>
        <w:rPr>
          <w:sz w:val="20"/>
        </w:rPr>
        <w:t xml:space="preserve">[9] L. </w:t>
      </w:r>
      <w:proofErr w:type="spellStart"/>
      <w:r>
        <w:rPr>
          <w:sz w:val="20"/>
        </w:rPr>
        <w:t>Mockus</w:t>
      </w:r>
      <w:proofErr w:type="spellEnd"/>
      <w:r>
        <w:rPr>
          <w:sz w:val="20"/>
        </w:rPr>
        <w:t>, J. Peters, and R. Wolfram, "Lifecycle CO2 Emissions of Internal Combustion Engine Vehicles: A Well-to-Wheel Assessment," Journal of Cleaner Production, vol. 312, pp. 127706, 2021.</w:t>
      </w:r>
    </w:p>
    <w:p w14:paraId="2A3CAE01" w14:textId="77777777" w:rsidR="00E863A2" w:rsidRDefault="00000000">
      <w:pPr>
        <w:spacing w:after="80"/>
      </w:pPr>
      <w:r>
        <w:rPr>
          <w:sz w:val="20"/>
        </w:rPr>
        <w:t>[10] L. Schipper, C. Marie-</w:t>
      </w:r>
      <w:proofErr w:type="spellStart"/>
      <w:r>
        <w:rPr>
          <w:sz w:val="20"/>
        </w:rPr>
        <w:t>Lilliu</w:t>
      </w:r>
      <w:proofErr w:type="spellEnd"/>
      <w:r>
        <w:rPr>
          <w:sz w:val="20"/>
        </w:rPr>
        <w:t>, and L. Fulton, "Diesels in Europe: Analysis of Characteristics, Adoption, Change and CO2 Emission Implications," Journal of Transport Economics and Policy, vol. 36, no. 2, pp. 305-340, 2002.</w:t>
      </w:r>
    </w:p>
    <w:p w14:paraId="74EC2484" w14:textId="77777777" w:rsidR="00E863A2" w:rsidRDefault="00000000">
      <w:pPr>
        <w:spacing w:after="80"/>
      </w:pPr>
      <w:r>
        <w:rPr>
          <w:sz w:val="20"/>
        </w:rPr>
        <w:t>[11] J. D. Cummins and S. Tennyson, "Controlling Automobile Insurance Costs," Journal of Economic Perspectives, vol. 6, no. 2, pp. 95-115, 1992.</w:t>
      </w:r>
    </w:p>
    <w:p w14:paraId="2241D916" w14:textId="77777777" w:rsidR="00E863A2" w:rsidRDefault="00000000">
      <w:pPr>
        <w:spacing w:after="80"/>
      </w:pPr>
      <w:r>
        <w:rPr>
          <w:sz w:val="20"/>
        </w:rPr>
        <w:t xml:space="preserve">[12] T. </w:t>
      </w:r>
      <w:proofErr w:type="spellStart"/>
      <w:r>
        <w:rPr>
          <w:sz w:val="20"/>
        </w:rPr>
        <w:t>Litman</w:t>
      </w:r>
      <w:proofErr w:type="spellEnd"/>
      <w:r>
        <w:rPr>
          <w:sz w:val="20"/>
        </w:rPr>
        <w:t>, "Distance-Based Vehicle Insurance as a TDM Strategy," Transportation Quarterly, vol. 51, no. 3, pp. 119-138, 1997.</w:t>
      </w:r>
    </w:p>
    <w:p w14:paraId="5331E1A8" w14:textId="77777777" w:rsidR="00E863A2" w:rsidRDefault="00000000">
      <w:pPr>
        <w:spacing w:after="80"/>
      </w:pPr>
      <w:r>
        <w:rPr>
          <w:sz w:val="20"/>
        </w:rPr>
        <w:lastRenderedPageBreak/>
        <w:t>[13] D. B. Rosenfield, "Automobile Insurance Risk Classification: Equity and Accuracy," Journal of Risk and Insurance, vol. 61, no. 1, pp. 112-130, 1994.</w:t>
      </w:r>
    </w:p>
    <w:p w14:paraId="3BAABA81" w14:textId="77777777" w:rsidR="00E863A2" w:rsidRDefault="00000000">
      <w:pPr>
        <w:spacing w:after="80"/>
        <w:rPr>
          <w:sz w:val="20"/>
        </w:rPr>
      </w:pPr>
      <w:r>
        <w:rPr>
          <w:sz w:val="20"/>
        </w:rPr>
        <w:t xml:space="preserve">[14] R. Wirth and J. </w:t>
      </w:r>
      <w:proofErr w:type="spellStart"/>
      <w:r>
        <w:rPr>
          <w:sz w:val="20"/>
        </w:rPr>
        <w:t>Hipp</w:t>
      </w:r>
      <w:proofErr w:type="spellEnd"/>
      <w:r>
        <w:rPr>
          <w:sz w:val="20"/>
        </w:rPr>
        <w:t>, "CRISP-DM: Towards a Standard Process Model for Data Mining," in Proc. 4th Int. Conf. on Practical Applications of Knowledge Discovery and Data Mining, Manchester, UK, 2000, pp. 29-39.</w:t>
      </w:r>
    </w:p>
    <w:sectPr w:rsidR="00E863A2">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E1F0A"/>
    <w:multiLevelType w:val="multilevel"/>
    <w:tmpl w:val="FE2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50895"/>
    <w:multiLevelType w:val="multilevel"/>
    <w:tmpl w:val="DA42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7289B"/>
    <w:multiLevelType w:val="multilevel"/>
    <w:tmpl w:val="F64C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72F46"/>
    <w:multiLevelType w:val="multilevel"/>
    <w:tmpl w:val="9AEE2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9C2891"/>
    <w:multiLevelType w:val="multilevel"/>
    <w:tmpl w:val="FB129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42869"/>
    <w:multiLevelType w:val="multilevel"/>
    <w:tmpl w:val="070C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827FC"/>
    <w:multiLevelType w:val="multilevel"/>
    <w:tmpl w:val="633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E0F82"/>
    <w:multiLevelType w:val="multilevel"/>
    <w:tmpl w:val="4B1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D51FF"/>
    <w:multiLevelType w:val="multilevel"/>
    <w:tmpl w:val="C31C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C7181"/>
    <w:multiLevelType w:val="hybridMultilevel"/>
    <w:tmpl w:val="897E289E"/>
    <w:lvl w:ilvl="0" w:tplc="84ECC2A0">
      <w:start w:val="1"/>
      <w:numFmt w:val="decimal"/>
      <w:lvlText w:val="%1."/>
      <w:lvlJc w:val="left"/>
      <w:pPr>
        <w:ind w:left="720" w:hanging="360"/>
      </w:pPr>
    </w:lvl>
    <w:lvl w:ilvl="1" w:tplc="E5CC520C">
      <w:start w:val="1"/>
      <w:numFmt w:val="lowerLetter"/>
      <w:lvlText w:val="%2."/>
      <w:lvlJc w:val="left"/>
      <w:pPr>
        <w:ind w:left="1440" w:hanging="360"/>
      </w:pPr>
    </w:lvl>
    <w:lvl w:ilvl="2" w:tplc="F4BEAC6E">
      <w:start w:val="1"/>
      <w:numFmt w:val="lowerRoman"/>
      <w:lvlText w:val="%3."/>
      <w:lvlJc w:val="left"/>
      <w:pPr>
        <w:ind w:left="2160" w:hanging="360"/>
      </w:pPr>
    </w:lvl>
    <w:lvl w:ilvl="3" w:tplc="AA7E1A08">
      <w:start w:val="1"/>
      <w:numFmt w:val="decimal"/>
      <w:lvlText w:val="%4."/>
      <w:lvlJc w:val="left"/>
      <w:pPr>
        <w:ind w:left="2880" w:hanging="360"/>
      </w:pPr>
    </w:lvl>
    <w:lvl w:ilvl="4" w:tplc="ED961232">
      <w:start w:val="1"/>
      <w:numFmt w:val="lowerLetter"/>
      <w:lvlText w:val="%5."/>
      <w:lvlJc w:val="left"/>
      <w:pPr>
        <w:ind w:left="3600" w:hanging="360"/>
      </w:pPr>
    </w:lvl>
    <w:lvl w:ilvl="5" w:tplc="5642936C">
      <w:start w:val="1"/>
      <w:numFmt w:val="lowerRoman"/>
      <w:lvlText w:val="%6."/>
      <w:lvlJc w:val="left"/>
      <w:pPr>
        <w:ind w:left="4320" w:hanging="360"/>
      </w:pPr>
    </w:lvl>
    <w:lvl w:ilvl="6" w:tplc="2BF01364">
      <w:start w:val="1"/>
      <w:numFmt w:val="decimal"/>
      <w:lvlText w:val="%7."/>
      <w:lvlJc w:val="left"/>
      <w:pPr>
        <w:ind w:left="5040" w:hanging="360"/>
      </w:pPr>
    </w:lvl>
    <w:lvl w:ilvl="7" w:tplc="2D4646B0">
      <w:start w:val="1"/>
      <w:numFmt w:val="lowerLetter"/>
      <w:lvlText w:val="%8."/>
      <w:lvlJc w:val="left"/>
      <w:pPr>
        <w:ind w:left="5760" w:hanging="360"/>
      </w:pPr>
    </w:lvl>
    <w:lvl w:ilvl="8" w:tplc="194004FE">
      <w:start w:val="1"/>
      <w:numFmt w:val="lowerRoman"/>
      <w:lvlText w:val="%9."/>
      <w:lvlJc w:val="left"/>
      <w:pPr>
        <w:ind w:left="6480" w:hanging="360"/>
      </w:pPr>
    </w:lvl>
  </w:abstractNum>
  <w:abstractNum w:abstractNumId="10" w15:restartNumberingAfterBreak="0">
    <w:nsid w:val="7BB10F22"/>
    <w:multiLevelType w:val="multilevel"/>
    <w:tmpl w:val="91C8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82C3C"/>
    <w:multiLevelType w:val="multilevel"/>
    <w:tmpl w:val="56DA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291914">
    <w:abstractNumId w:val="9"/>
  </w:num>
  <w:num w:numId="2" w16cid:durableId="450436508">
    <w:abstractNumId w:val="2"/>
  </w:num>
  <w:num w:numId="3" w16cid:durableId="178080206">
    <w:abstractNumId w:val="3"/>
  </w:num>
  <w:num w:numId="4" w16cid:durableId="1999845707">
    <w:abstractNumId w:val="0"/>
  </w:num>
  <w:num w:numId="5" w16cid:durableId="1495874350">
    <w:abstractNumId w:val="1"/>
  </w:num>
  <w:num w:numId="6" w16cid:durableId="1481342174">
    <w:abstractNumId w:val="10"/>
  </w:num>
  <w:num w:numId="7" w16cid:durableId="2031686242">
    <w:abstractNumId w:val="4"/>
  </w:num>
  <w:num w:numId="8" w16cid:durableId="1612862867">
    <w:abstractNumId w:val="8"/>
  </w:num>
  <w:num w:numId="9" w16cid:durableId="923221506">
    <w:abstractNumId w:val="6"/>
  </w:num>
  <w:num w:numId="10" w16cid:durableId="1548834531">
    <w:abstractNumId w:val="5"/>
  </w:num>
  <w:num w:numId="11" w16cid:durableId="1933396705">
    <w:abstractNumId w:val="11"/>
  </w:num>
  <w:num w:numId="12" w16cid:durableId="1105890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3A2"/>
    <w:rsid w:val="004A799D"/>
    <w:rsid w:val="005439CE"/>
    <w:rsid w:val="00585147"/>
    <w:rsid w:val="008B389A"/>
    <w:rsid w:val="00E86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31D9C"/>
  <w15:docId w15:val="{CFAA810B-F7FA-4C13-B924-6A603C51B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4662">
      <w:bodyDiv w:val="1"/>
      <w:marLeft w:val="0"/>
      <w:marRight w:val="0"/>
      <w:marTop w:val="0"/>
      <w:marBottom w:val="0"/>
      <w:divBdr>
        <w:top w:val="none" w:sz="0" w:space="0" w:color="auto"/>
        <w:left w:val="none" w:sz="0" w:space="0" w:color="auto"/>
        <w:bottom w:val="none" w:sz="0" w:space="0" w:color="auto"/>
        <w:right w:val="none" w:sz="0" w:space="0" w:color="auto"/>
      </w:divBdr>
      <w:divsChild>
        <w:div w:id="122968108">
          <w:marLeft w:val="0"/>
          <w:marRight w:val="0"/>
          <w:marTop w:val="240"/>
          <w:marBottom w:val="240"/>
          <w:divBdr>
            <w:top w:val="none" w:sz="0" w:space="0" w:color="auto"/>
            <w:left w:val="none" w:sz="0" w:space="0" w:color="auto"/>
            <w:bottom w:val="none" w:sz="0" w:space="0" w:color="auto"/>
            <w:right w:val="none" w:sz="0" w:space="0" w:color="auto"/>
          </w:divBdr>
        </w:div>
        <w:div w:id="729309235">
          <w:marLeft w:val="0"/>
          <w:marRight w:val="0"/>
          <w:marTop w:val="240"/>
          <w:marBottom w:val="240"/>
          <w:divBdr>
            <w:top w:val="none" w:sz="0" w:space="0" w:color="auto"/>
            <w:left w:val="none" w:sz="0" w:space="0" w:color="auto"/>
            <w:bottom w:val="none" w:sz="0" w:space="0" w:color="auto"/>
            <w:right w:val="none" w:sz="0" w:space="0" w:color="auto"/>
          </w:divBdr>
        </w:div>
        <w:div w:id="763262759">
          <w:marLeft w:val="0"/>
          <w:marRight w:val="0"/>
          <w:marTop w:val="240"/>
          <w:marBottom w:val="240"/>
          <w:divBdr>
            <w:top w:val="none" w:sz="0" w:space="0" w:color="auto"/>
            <w:left w:val="none" w:sz="0" w:space="0" w:color="auto"/>
            <w:bottom w:val="none" w:sz="0" w:space="0" w:color="auto"/>
            <w:right w:val="none" w:sz="0" w:space="0" w:color="auto"/>
          </w:divBdr>
        </w:div>
        <w:div w:id="1695185802">
          <w:marLeft w:val="0"/>
          <w:marRight w:val="0"/>
          <w:marTop w:val="0"/>
          <w:marBottom w:val="0"/>
          <w:divBdr>
            <w:top w:val="none" w:sz="0" w:space="0" w:color="auto"/>
            <w:left w:val="none" w:sz="0" w:space="0" w:color="auto"/>
            <w:bottom w:val="none" w:sz="0" w:space="0" w:color="auto"/>
            <w:right w:val="none" w:sz="0" w:space="0" w:color="auto"/>
          </w:divBdr>
        </w:div>
        <w:div w:id="2082364250">
          <w:marLeft w:val="0"/>
          <w:marRight w:val="0"/>
          <w:marTop w:val="240"/>
          <w:marBottom w:val="240"/>
          <w:divBdr>
            <w:top w:val="none" w:sz="0" w:space="0" w:color="auto"/>
            <w:left w:val="none" w:sz="0" w:space="0" w:color="auto"/>
            <w:bottom w:val="none" w:sz="0" w:space="0" w:color="auto"/>
            <w:right w:val="none" w:sz="0" w:space="0" w:color="auto"/>
          </w:divBdr>
        </w:div>
        <w:div w:id="277110290">
          <w:marLeft w:val="0"/>
          <w:marRight w:val="0"/>
          <w:marTop w:val="0"/>
          <w:marBottom w:val="0"/>
          <w:divBdr>
            <w:top w:val="none" w:sz="0" w:space="0" w:color="auto"/>
            <w:left w:val="none" w:sz="0" w:space="0" w:color="auto"/>
            <w:bottom w:val="none" w:sz="0" w:space="0" w:color="auto"/>
            <w:right w:val="none" w:sz="0" w:space="0" w:color="auto"/>
          </w:divBdr>
        </w:div>
        <w:div w:id="129326382">
          <w:marLeft w:val="0"/>
          <w:marRight w:val="0"/>
          <w:marTop w:val="240"/>
          <w:marBottom w:val="240"/>
          <w:divBdr>
            <w:top w:val="none" w:sz="0" w:space="0" w:color="auto"/>
            <w:left w:val="none" w:sz="0" w:space="0" w:color="auto"/>
            <w:bottom w:val="none" w:sz="0" w:space="0" w:color="auto"/>
            <w:right w:val="none" w:sz="0" w:space="0" w:color="auto"/>
          </w:divBdr>
        </w:div>
        <w:div w:id="1420372708">
          <w:marLeft w:val="0"/>
          <w:marRight w:val="0"/>
          <w:marTop w:val="0"/>
          <w:marBottom w:val="0"/>
          <w:divBdr>
            <w:top w:val="none" w:sz="0" w:space="0" w:color="auto"/>
            <w:left w:val="none" w:sz="0" w:space="0" w:color="auto"/>
            <w:bottom w:val="none" w:sz="0" w:space="0" w:color="auto"/>
            <w:right w:val="none" w:sz="0" w:space="0" w:color="auto"/>
          </w:divBdr>
        </w:div>
      </w:divsChild>
    </w:div>
    <w:div w:id="497426246">
      <w:bodyDiv w:val="1"/>
      <w:marLeft w:val="0"/>
      <w:marRight w:val="0"/>
      <w:marTop w:val="0"/>
      <w:marBottom w:val="0"/>
      <w:divBdr>
        <w:top w:val="none" w:sz="0" w:space="0" w:color="auto"/>
        <w:left w:val="none" w:sz="0" w:space="0" w:color="auto"/>
        <w:bottom w:val="none" w:sz="0" w:space="0" w:color="auto"/>
        <w:right w:val="none" w:sz="0" w:space="0" w:color="auto"/>
      </w:divBdr>
      <w:divsChild>
        <w:div w:id="1575166984">
          <w:marLeft w:val="0"/>
          <w:marRight w:val="0"/>
          <w:marTop w:val="0"/>
          <w:marBottom w:val="0"/>
          <w:divBdr>
            <w:top w:val="none" w:sz="0" w:space="0" w:color="auto"/>
            <w:left w:val="none" w:sz="0" w:space="0" w:color="auto"/>
            <w:bottom w:val="none" w:sz="0" w:space="0" w:color="auto"/>
            <w:right w:val="none" w:sz="0" w:space="0" w:color="auto"/>
          </w:divBdr>
          <w:divsChild>
            <w:div w:id="1575047877">
              <w:marLeft w:val="0"/>
              <w:marRight w:val="0"/>
              <w:marTop w:val="0"/>
              <w:marBottom w:val="0"/>
              <w:divBdr>
                <w:top w:val="none" w:sz="0" w:space="0" w:color="auto"/>
                <w:left w:val="none" w:sz="0" w:space="0" w:color="auto"/>
                <w:bottom w:val="none" w:sz="0" w:space="0" w:color="auto"/>
                <w:right w:val="none" w:sz="0" w:space="0" w:color="auto"/>
              </w:divBdr>
              <w:divsChild>
                <w:div w:id="1117530207">
                  <w:marLeft w:val="0"/>
                  <w:marRight w:val="0"/>
                  <w:marTop w:val="0"/>
                  <w:marBottom w:val="0"/>
                  <w:divBdr>
                    <w:top w:val="none" w:sz="0" w:space="0" w:color="auto"/>
                    <w:left w:val="none" w:sz="0" w:space="0" w:color="auto"/>
                    <w:bottom w:val="none" w:sz="0" w:space="0" w:color="auto"/>
                    <w:right w:val="none" w:sz="0" w:space="0" w:color="auto"/>
                  </w:divBdr>
                  <w:divsChild>
                    <w:div w:id="498734637">
                      <w:marLeft w:val="0"/>
                      <w:marRight w:val="0"/>
                      <w:marTop w:val="0"/>
                      <w:marBottom w:val="0"/>
                      <w:divBdr>
                        <w:top w:val="none" w:sz="0" w:space="0" w:color="auto"/>
                        <w:left w:val="none" w:sz="0" w:space="0" w:color="auto"/>
                        <w:bottom w:val="none" w:sz="0" w:space="0" w:color="auto"/>
                        <w:right w:val="none" w:sz="0" w:space="0" w:color="auto"/>
                      </w:divBdr>
                      <w:divsChild>
                        <w:div w:id="1428774082">
                          <w:marLeft w:val="0"/>
                          <w:marRight w:val="0"/>
                          <w:marTop w:val="0"/>
                          <w:marBottom w:val="0"/>
                          <w:divBdr>
                            <w:top w:val="none" w:sz="0" w:space="0" w:color="auto"/>
                            <w:left w:val="none" w:sz="0" w:space="0" w:color="auto"/>
                            <w:bottom w:val="none" w:sz="0" w:space="0" w:color="auto"/>
                            <w:right w:val="none" w:sz="0" w:space="0" w:color="auto"/>
                          </w:divBdr>
                          <w:divsChild>
                            <w:div w:id="56586403">
                              <w:marLeft w:val="0"/>
                              <w:marRight w:val="0"/>
                              <w:marTop w:val="0"/>
                              <w:marBottom w:val="0"/>
                              <w:divBdr>
                                <w:top w:val="none" w:sz="0" w:space="0" w:color="auto"/>
                                <w:left w:val="none" w:sz="0" w:space="0" w:color="auto"/>
                                <w:bottom w:val="none" w:sz="0" w:space="0" w:color="auto"/>
                                <w:right w:val="none" w:sz="0" w:space="0" w:color="auto"/>
                              </w:divBdr>
                              <w:divsChild>
                                <w:div w:id="1073891870">
                                  <w:marLeft w:val="0"/>
                                  <w:marRight w:val="0"/>
                                  <w:marTop w:val="0"/>
                                  <w:marBottom w:val="0"/>
                                  <w:divBdr>
                                    <w:top w:val="none" w:sz="0" w:space="0" w:color="auto"/>
                                    <w:left w:val="none" w:sz="0" w:space="0" w:color="auto"/>
                                    <w:bottom w:val="none" w:sz="0" w:space="0" w:color="auto"/>
                                    <w:right w:val="none" w:sz="0" w:space="0" w:color="auto"/>
                                  </w:divBdr>
                                  <w:divsChild>
                                    <w:div w:id="1908568560">
                                      <w:marLeft w:val="0"/>
                                      <w:marRight w:val="0"/>
                                      <w:marTop w:val="0"/>
                                      <w:marBottom w:val="0"/>
                                      <w:divBdr>
                                        <w:top w:val="none" w:sz="0" w:space="0" w:color="auto"/>
                                        <w:left w:val="none" w:sz="0" w:space="0" w:color="auto"/>
                                        <w:bottom w:val="none" w:sz="0" w:space="0" w:color="auto"/>
                                        <w:right w:val="none" w:sz="0" w:space="0" w:color="auto"/>
                                      </w:divBdr>
                                      <w:divsChild>
                                        <w:div w:id="836925978">
                                          <w:marLeft w:val="0"/>
                                          <w:marRight w:val="0"/>
                                          <w:marTop w:val="0"/>
                                          <w:marBottom w:val="0"/>
                                          <w:divBdr>
                                            <w:top w:val="none" w:sz="0" w:space="0" w:color="auto"/>
                                            <w:left w:val="none" w:sz="0" w:space="0" w:color="auto"/>
                                            <w:bottom w:val="none" w:sz="0" w:space="0" w:color="auto"/>
                                            <w:right w:val="none" w:sz="0" w:space="0" w:color="auto"/>
                                          </w:divBdr>
                                          <w:divsChild>
                                            <w:div w:id="123429322">
                                              <w:marLeft w:val="0"/>
                                              <w:marRight w:val="0"/>
                                              <w:marTop w:val="0"/>
                                              <w:marBottom w:val="0"/>
                                              <w:divBdr>
                                                <w:top w:val="none" w:sz="0" w:space="0" w:color="auto"/>
                                                <w:left w:val="none" w:sz="0" w:space="0" w:color="auto"/>
                                                <w:bottom w:val="none" w:sz="0" w:space="0" w:color="auto"/>
                                                <w:right w:val="none" w:sz="0" w:space="0" w:color="auto"/>
                                              </w:divBdr>
                                              <w:divsChild>
                                                <w:div w:id="401217399">
                                                  <w:marLeft w:val="0"/>
                                                  <w:marRight w:val="0"/>
                                                  <w:marTop w:val="180"/>
                                                  <w:marBottom w:val="240"/>
                                                  <w:divBdr>
                                                    <w:top w:val="none" w:sz="0" w:space="0" w:color="auto"/>
                                                    <w:left w:val="none" w:sz="0" w:space="0" w:color="auto"/>
                                                    <w:bottom w:val="none" w:sz="0" w:space="0" w:color="auto"/>
                                                    <w:right w:val="none" w:sz="0" w:space="0" w:color="auto"/>
                                                  </w:divBdr>
                                                </w:div>
                                                <w:div w:id="1132283573">
                                                  <w:marLeft w:val="0"/>
                                                  <w:marRight w:val="0"/>
                                                  <w:marTop w:val="360"/>
                                                  <w:marBottom w:val="180"/>
                                                  <w:divBdr>
                                                    <w:top w:val="none" w:sz="0" w:space="0" w:color="auto"/>
                                                    <w:left w:val="none" w:sz="0" w:space="0" w:color="auto"/>
                                                    <w:bottom w:val="none" w:sz="0" w:space="0" w:color="auto"/>
                                                    <w:right w:val="none" w:sz="0" w:space="0" w:color="auto"/>
                                                  </w:divBdr>
                                                </w:div>
                                                <w:div w:id="580137614">
                                                  <w:marLeft w:val="0"/>
                                                  <w:marRight w:val="0"/>
                                                  <w:marTop w:val="180"/>
                                                  <w:marBottom w:val="240"/>
                                                  <w:divBdr>
                                                    <w:top w:val="none" w:sz="0" w:space="0" w:color="auto"/>
                                                    <w:left w:val="none" w:sz="0" w:space="0" w:color="auto"/>
                                                    <w:bottom w:val="none" w:sz="0" w:space="0" w:color="auto"/>
                                                    <w:right w:val="none" w:sz="0" w:space="0" w:color="auto"/>
                                                  </w:divBdr>
                                                </w:div>
                                                <w:div w:id="1595088963">
                                                  <w:marLeft w:val="0"/>
                                                  <w:marRight w:val="0"/>
                                                  <w:marTop w:val="360"/>
                                                  <w:marBottom w:val="180"/>
                                                  <w:divBdr>
                                                    <w:top w:val="none" w:sz="0" w:space="0" w:color="auto"/>
                                                    <w:left w:val="none" w:sz="0" w:space="0" w:color="auto"/>
                                                    <w:bottom w:val="none" w:sz="0" w:space="0" w:color="auto"/>
                                                    <w:right w:val="none" w:sz="0" w:space="0" w:color="auto"/>
                                                  </w:divBdr>
                                                </w:div>
                                                <w:div w:id="1256597501">
                                                  <w:marLeft w:val="0"/>
                                                  <w:marRight w:val="0"/>
                                                  <w:marTop w:val="180"/>
                                                  <w:marBottom w:val="240"/>
                                                  <w:divBdr>
                                                    <w:top w:val="none" w:sz="0" w:space="0" w:color="auto"/>
                                                    <w:left w:val="none" w:sz="0" w:space="0" w:color="auto"/>
                                                    <w:bottom w:val="none" w:sz="0" w:space="0" w:color="auto"/>
                                                    <w:right w:val="none" w:sz="0" w:space="0" w:color="auto"/>
                                                  </w:divBdr>
                                                </w:div>
                                                <w:div w:id="281546045">
                                                  <w:marLeft w:val="0"/>
                                                  <w:marRight w:val="0"/>
                                                  <w:marTop w:val="360"/>
                                                  <w:marBottom w:val="180"/>
                                                  <w:divBdr>
                                                    <w:top w:val="none" w:sz="0" w:space="0" w:color="auto"/>
                                                    <w:left w:val="none" w:sz="0" w:space="0" w:color="auto"/>
                                                    <w:bottom w:val="none" w:sz="0" w:space="0" w:color="auto"/>
                                                    <w:right w:val="none" w:sz="0" w:space="0" w:color="auto"/>
                                                  </w:divBdr>
                                                </w:div>
                                                <w:div w:id="585462325">
                                                  <w:marLeft w:val="0"/>
                                                  <w:marRight w:val="0"/>
                                                  <w:marTop w:val="0"/>
                                                  <w:marBottom w:val="0"/>
                                                  <w:divBdr>
                                                    <w:top w:val="none" w:sz="0" w:space="0" w:color="auto"/>
                                                    <w:left w:val="none" w:sz="0" w:space="0" w:color="auto"/>
                                                    <w:bottom w:val="none" w:sz="0" w:space="0" w:color="auto"/>
                                                    <w:right w:val="none" w:sz="0" w:space="0" w:color="auto"/>
                                                  </w:divBdr>
                                                  <w:divsChild>
                                                    <w:div w:id="7013670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7400495">
          <w:marLeft w:val="0"/>
          <w:marRight w:val="0"/>
          <w:marTop w:val="0"/>
          <w:marBottom w:val="0"/>
          <w:divBdr>
            <w:top w:val="none" w:sz="0" w:space="0" w:color="auto"/>
            <w:left w:val="none" w:sz="0" w:space="0" w:color="auto"/>
            <w:bottom w:val="none" w:sz="0" w:space="0" w:color="auto"/>
            <w:right w:val="none" w:sz="0" w:space="0" w:color="auto"/>
          </w:divBdr>
          <w:divsChild>
            <w:div w:id="578904278">
              <w:marLeft w:val="0"/>
              <w:marRight w:val="0"/>
              <w:marTop w:val="0"/>
              <w:marBottom w:val="0"/>
              <w:divBdr>
                <w:top w:val="none" w:sz="0" w:space="0" w:color="auto"/>
                <w:left w:val="none" w:sz="0" w:space="0" w:color="auto"/>
                <w:bottom w:val="none" w:sz="0" w:space="0" w:color="auto"/>
                <w:right w:val="none" w:sz="0" w:space="0" w:color="auto"/>
              </w:divBdr>
              <w:divsChild>
                <w:div w:id="576864251">
                  <w:marLeft w:val="0"/>
                  <w:marRight w:val="0"/>
                  <w:marTop w:val="0"/>
                  <w:marBottom w:val="0"/>
                  <w:divBdr>
                    <w:top w:val="none" w:sz="0" w:space="0" w:color="auto"/>
                    <w:left w:val="none" w:sz="0" w:space="0" w:color="auto"/>
                    <w:bottom w:val="none" w:sz="0" w:space="0" w:color="auto"/>
                    <w:right w:val="none" w:sz="0" w:space="0" w:color="auto"/>
                  </w:divBdr>
                  <w:divsChild>
                    <w:div w:id="1923024790">
                      <w:marLeft w:val="0"/>
                      <w:marRight w:val="0"/>
                      <w:marTop w:val="0"/>
                      <w:marBottom w:val="0"/>
                      <w:divBdr>
                        <w:top w:val="none" w:sz="0" w:space="0" w:color="auto"/>
                        <w:left w:val="none" w:sz="0" w:space="0" w:color="auto"/>
                        <w:bottom w:val="none" w:sz="0" w:space="0" w:color="auto"/>
                        <w:right w:val="none" w:sz="0" w:space="0" w:color="auto"/>
                      </w:divBdr>
                      <w:divsChild>
                        <w:div w:id="602422499">
                          <w:marLeft w:val="0"/>
                          <w:marRight w:val="0"/>
                          <w:marTop w:val="0"/>
                          <w:marBottom w:val="0"/>
                          <w:divBdr>
                            <w:top w:val="none" w:sz="0" w:space="0" w:color="auto"/>
                            <w:left w:val="none" w:sz="0" w:space="0" w:color="auto"/>
                            <w:bottom w:val="none" w:sz="0" w:space="0" w:color="auto"/>
                            <w:right w:val="none" w:sz="0" w:space="0" w:color="auto"/>
                          </w:divBdr>
                          <w:divsChild>
                            <w:div w:id="1122728062">
                              <w:marLeft w:val="0"/>
                              <w:marRight w:val="0"/>
                              <w:marTop w:val="0"/>
                              <w:marBottom w:val="0"/>
                              <w:divBdr>
                                <w:top w:val="none" w:sz="0" w:space="0" w:color="auto"/>
                                <w:left w:val="none" w:sz="0" w:space="0" w:color="auto"/>
                                <w:bottom w:val="none" w:sz="0" w:space="0" w:color="auto"/>
                                <w:right w:val="none" w:sz="0" w:space="0" w:color="auto"/>
                              </w:divBdr>
                              <w:divsChild>
                                <w:div w:id="416101244">
                                  <w:marLeft w:val="0"/>
                                  <w:marRight w:val="0"/>
                                  <w:marTop w:val="0"/>
                                  <w:marBottom w:val="0"/>
                                  <w:divBdr>
                                    <w:top w:val="none" w:sz="0" w:space="0" w:color="auto"/>
                                    <w:left w:val="none" w:sz="0" w:space="0" w:color="auto"/>
                                    <w:bottom w:val="none" w:sz="0" w:space="0" w:color="auto"/>
                                    <w:right w:val="none" w:sz="0" w:space="0" w:color="auto"/>
                                  </w:divBdr>
                                  <w:divsChild>
                                    <w:div w:id="12115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113593">
          <w:marLeft w:val="0"/>
          <w:marRight w:val="0"/>
          <w:marTop w:val="0"/>
          <w:marBottom w:val="0"/>
          <w:divBdr>
            <w:top w:val="none" w:sz="0" w:space="0" w:color="auto"/>
            <w:left w:val="none" w:sz="0" w:space="0" w:color="auto"/>
            <w:bottom w:val="none" w:sz="0" w:space="0" w:color="auto"/>
            <w:right w:val="none" w:sz="0" w:space="0" w:color="auto"/>
          </w:divBdr>
          <w:divsChild>
            <w:div w:id="2022857933">
              <w:marLeft w:val="0"/>
              <w:marRight w:val="0"/>
              <w:marTop w:val="0"/>
              <w:marBottom w:val="0"/>
              <w:divBdr>
                <w:top w:val="none" w:sz="0" w:space="0" w:color="auto"/>
                <w:left w:val="none" w:sz="0" w:space="0" w:color="auto"/>
                <w:bottom w:val="none" w:sz="0" w:space="0" w:color="auto"/>
                <w:right w:val="none" w:sz="0" w:space="0" w:color="auto"/>
              </w:divBdr>
              <w:divsChild>
                <w:div w:id="1098716692">
                  <w:marLeft w:val="0"/>
                  <w:marRight w:val="0"/>
                  <w:marTop w:val="0"/>
                  <w:marBottom w:val="0"/>
                  <w:divBdr>
                    <w:top w:val="none" w:sz="0" w:space="0" w:color="auto"/>
                    <w:left w:val="none" w:sz="0" w:space="0" w:color="auto"/>
                    <w:bottom w:val="none" w:sz="0" w:space="0" w:color="auto"/>
                    <w:right w:val="none" w:sz="0" w:space="0" w:color="auto"/>
                  </w:divBdr>
                  <w:divsChild>
                    <w:div w:id="1999530680">
                      <w:marLeft w:val="0"/>
                      <w:marRight w:val="0"/>
                      <w:marTop w:val="0"/>
                      <w:marBottom w:val="0"/>
                      <w:divBdr>
                        <w:top w:val="none" w:sz="0" w:space="0" w:color="auto"/>
                        <w:left w:val="none" w:sz="0" w:space="0" w:color="auto"/>
                        <w:bottom w:val="none" w:sz="0" w:space="0" w:color="auto"/>
                        <w:right w:val="none" w:sz="0" w:space="0" w:color="auto"/>
                      </w:divBdr>
                      <w:divsChild>
                        <w:div w:id="713433607">
                          <w:marLeft w:val="0"/>
                          <w:marRight w:val="0"/>
                          <w:marTop w:val="0"/>
                          <w:marBottom w:val="0"/>
                          <w:divBdr>
                            <w:top w:val="none" w:sz="0" w:space="0" w:color="auto"/>
                            <w:left w:val="none" w:sz="0" w:space="0" w:color="auto"/>
                            <w:bottom w:val="none" w:sz="0" w:space="0" w:color="auto"/>
                            <w:right w:val="none" w:sz="0" w:space="0" w:color="auto"/>
                          </w:divBdr>
                          <w:divsChild>
                            <w:div w:id="481507560">
                              <w:marLeft w:val="0"/>
                              <w:marRight w:val="0"/>
                              <w:marTop w:val="0"/>
                              <w:marBottom w:val="0"/>
                              <w:divBdr>
                                <w:top w:val="none" w:sz="0" w:space="0" w:color="auto"/>
                                <w:left w:val="none" w:sz="0" w:space="0" w:color="auto"/>
                                <w:bottom w:val="none" w:sz="0" w:space="0" w:color="auto"/>
                                <w:right w:val="none" w:sz="0" w:space="0" w:color="auto"/>
                              </w:divBdr>
                              <w:divsChild>
                                <w:div w:id="1722751402">
                                  <w:marLeft w:val="0"/>
                                  <w:marRight w:val="0"/>
                                  <w:marTop w:val="0"/>
                                  <w:marBottom w:val="0"/>
                                  <w:divBdr>
                                    <w:top w:val="none" w:sz="0" w:space="0" w:color="auto"/>
                                    <w:left w:val="none" w:sz="0" w:space="0" w:color="auto"/>
                                    <w:bottom w:val="none" w:sz="0" w:space="0" w:color="auto"/>
                                    <w:right w:val="none" w:sz="0" w:space="0" w:color="auto"/>
                                  </w:divBdr>
                                  <w:divsChild>
                                    <w:div w:id="139738933">
                                      <w:marLeft w:val="0"/>
                                      <w:marRight w:val="0"/>
                                      <w:marTop w:val="0"/>
                                      <w:marBottom w:val="0"/>
                                      <w:divBdr>
                                        <w:top w:val="none" w:sz="0" w:space="0" w:color="auto"/>
                                        <w:left w:val="none" w:sz="0" w:space="0" w:color="auto"/>
                                        <w:bottom w:val="none" w:sz="0" w:space="0" w:color="auto"/>
                                        <w:right w:val="none" w:sz="0" w:space="0" w:color="auto"/>
                                      </w:divBdr>
                                      <w:divsChild>
                                        <w:div w:id="1006323143">
                                          <w:marLeft w:val="0"/>
                                          <w:marRight w:val="0"/>
                                          <w:marTop w:val="0"/>
                                          <w:marBottom w:val="0"/>
                                          <w:divBdr>
                                            <w:top w:val="none" w:sz="0" w:space="0" w:color="auto"/>
                                            <w:left w:val="none" w:sz="0" w:space="0" w:color="auto"/>
                                            <w:bottom w:val="none" w:sz="0" w:space="0" w:color="auto"/>
                                            <w:right w:val="none" w:sz="0" w:space="0" w:color="auto"/>
                                          </w:divBdr>
                                          <w:divsChild>
                                            <w:div w:id="371878788">
                                              <w:marLeft w:val="0"/>
                                              <w:marRight w:val="0"/>
                                              <w:marTop w:val="180"/>
                                              <w:marBottom w:val="240"/>
                                              <w:divBdr>
                                                <w:top w:val="none" w:sz="0" w:space="0" w:color="auto"/>
                                                <w:left w:val="none" w:sz="0" w:space="0" w:color="auto"/>
                                                <w:bottom w:val="none" w:sz="0" w:space="0" w:color="auto"/>
                                                <w:right w:val="none" w:sz="0" w:space="0" w:color="auto"/>
                                              </w:divBdr>
                                            </w:div>
                                            <w:div w:id="1100176891">
                                              <w:marLeft w:val="0"/>
                                              <w:marRight w:val="0"/>
                                              <w:marTop w:val="180"/>
                                              <w:marBottom w:val="240"/>
                                              <w:divBdr>
                                                <w:top w:val="none" w:sz="0" w:space="0" w:color="auto"/>
                                                <w:left w:val="none" w:sz="0" w:space="0" w:color="auto"/>
                                                <w:bottom w:val="none" w:sz="0" w:space="0" w:color="auto"/>
                                                <w:right w:val="none" w:sz="0" w:space="0" w:color="auto"/>
                                              </w:divBdr>
                                            </w:div>
                                            <w:div w:id="2071074777">
                                              <w:marLeft w:val="0"/>
                                              <w:marRight w:val="0"/>
                                              <w:marTop w:val="360"/>
                                              <w:marBottom w:val="180"/>
                                              <w:divBdr>
                                                <w:top w:val="none" w:sz="0" w:space="0" w:color="auto"/>
                                                <w:left w:val="none" w:sz="0" w:space="0" w:color="auto"/>
                                                <w:bottom w:val="none" w:sz="0" w:space="0" w:color="auto"/>
                                                <w:right w:val="none" w:sz="0" w:space="0" w:color="auto"/>
                                              </w:divBdr>
                                            </w:div>
                                            <w:div w:id="1981886590">
                                              <w:marLeft w:val="0"/>
                                              <w:marRight w:val="0"/>
                                              <w:marTop w:val="180"/>
                                              <w:marBottom w:val="240"/>
                                              <w:divBdr>
                                                <w:top w:val="none" w:sz="0" w:space="0" w:color="auto"/>
                                                <w:left w:val="none" w:sz="0" w:space="0" w:color="auto"/>
                                                <w:bottom w:val="none" w:sz="0" w:space="0" w:color="auto"/>
                                                <w:right w:val="none" w:sz="0" w:space="0" w:color="auto"/>
                                              </w:divBdr>
                                            </w:div>
                                            <w:div w:id="1613589455">
                                              <w:marLeft w:val="0"/>
                                              <w:marRight w:val="0"/>
                                              <w:marTop w:val="360"/>
                                              <w:marBottom w:val="180"/>
                                              <w:divBdr>
                                                <w:top w:val="none" w:sz="0" w:space="0" w:color="auto"/>
                                                <w:left w:val="none" w:sz="0" w:space="0" w:color="auto"/>
                                                <w:bottom w:val="none" w:sz="0" w:space="0" w:color="auto"/>
                                                <w:right w:val="none" w:sz="0" w:space="0" w:color="auto"/>
                                              </w:divBdr>
                                            </w:div>
                                            <w:div w:id="2047412623">
                                              <w:marLeft w:val="0"/>
                                              <w:marRight w:val="0"/>
                                              <w:marTop w:val="180"/>
                                              <w:marBottom w:val="240"/>
                                              <w:divBdr>
                                                <w:top w:val="none" w:sz="0" w:space="0" w:color="auto"/>
                                                <w:left w:val="none" w:sz="0" w:space="0" w:color="auto"/>
                                                <w:bottom w:val="none" w:sz="0" w:space="0" w:color="auto"/>
                                                <w:right w:val="none" w:sz="0" w:space="0" w:color="auto"/>
                                              </w:divBdr>
                                            </w:div>
                                            <w:div w:id="1558280282">
                                              <w:marLeft w:val="0"/>
                                              <w:marRight w:val="0"/>
                                              <w:marTop w:val="180"/>
                                              <w:marBottom w:val="240"/>
                                              <w:divBdr>
                                                <w:top w:val="none" w:sz="0" w:space="0" w:color="auto"/>
                                                <w:left w:val="none" w:sz="0" w:space="0" w:color="auto"/>
                                                <w:bottom w:val="none" w:sz="0" w:space="0" w:color="auto"/>
                                                <w:right w:val="none" w:sz="0" w:space="0" w:color="auto"/>
                                              </w:divBdr>
                                            </w:div>
                                            <w:div w:id="801702049">
                                              <w:marLeft w:val="0"/>
                                              <w:marRight w:val="0"/>
                                              <w:marTop w:val="360"/>
                                              <w:marBottom w:val="180"/>
                                              <w:divBdr>
                                                <w:top w:val="none" w:sz="0" w:space="0" w:color="auto"/>
                                                <w:left w:val="none" w:sz="0" w:space="0" w:color="auto"/>
                                                <w:bottom w:val="none" w:sz="0" w:space="0" w:color="auto"/>
                                                <w:right w:val="none" w:sz="0" w:space="0" w:color="auto"/>
                                              </w:divBdr>
                                            </w:div>
                                            <w:div w:id="779304523">
                                              <w:marLeft w:val="0"/>
                                              <w:marRight w:val="0"/>
                                              <w:marTop w:val="180"/>
                                              <w:marBottom w:val="240"/>
                                              <w:divBdr>
                                                <w:top w:val="none" w:sz="0" w:space="0" w:color="auto"/>
                                                <w:left w:val="none" w:sz="0" w:space="0" w:color="auto"/>
                                                <w:bottom w:val="none" w:sz="0" w:space="0" w:color="auto"/>
                                                <w:right w:val="none" w:sz="0" w:space="0" w:color="auto"/>
                                              </w:divBdr>
                                            </w:div>
                                            <w:div w:id="1826319463">
                                              <w:marLeft w:val="0"/>
                                              <w:marRight w:val="0"/>
                                              <w:marTop w:val="360"/>
                                              <w:marBottom w:val="180"/>
                                              <w:divBdr>
                                                <w:top w:val="none" w:sz="0" w:space="0" w:color="auto"/>
                                                <w:left w:val="none" w:sz="0" w:space="0" w:color="auto"/>
                                                <w:bottom w:val="none" w:sz="0" w:space="0" w:color="auto"/>
                                                <w:right w:val="none" w:sz="0" w:space="0" w:color="auto"/>
                                              </w:divBdr>
                                            </w:div>
                                            <w:div w:id="1259370930">
                                              <w:marLeft w:val="0"/>
                                              <w:marRight w:val="0"/>
                                              <w:marTop w:val="180"/>
                                              <w:marBottom w:val="240"/>
                                              <w:divBdr>
                                                <w:top w:val="none" w:sz="0" w:space="0" w:color="auto"/>
                                                <w:left w:val="none" w:sz="0" w:space="0" w:color="auto"/>
                                                <w:bottom w:val="none" w:sz="0" w:space="0" w:color="auto"/>
                                                <w:right w:val="none" w:sz="0" w:space="0" w:color="auto"/>
                                              </w:divBdr>
                                            </w:div>
                                            <w:div w:id="913972821">
                                              <w:marLeft w:val="0"/>
                                              <w:marRight w:val="0"/>
                                              <w:marTop w:val="0"/>
                                              <w:marBottom w:val="0"/>
                                              <w:divBdr>
                                                <w:top w:val="none" w:sz="0" w:space="0" w:color="auto"/>
                                                <w:left w:val="none" w:sz="0" w:space="0" w:color="auto"/>
                                                <w:bottom w:val="none" w:sz="0" w:space="0" w:color="auto"/>
                                                <w:right w:val="none" w:sz="0" w:space="0" w:color="auto"/>
                                              </w:divBdr>
                                              <w:divsChild>
                                                <w:div w:id="189045498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026430">
      <w:bodyDiv w:val="1"/>
      <w:marLeft w:val="0"/>
      <w:marRight w:val="0"/>
      <w:marTop w:val="0"/>
      <w:marBottom w:val="0"/>
      <w:divBdr>
        <w:top w:val="none" w:sz="0" w:space="0" w:color="auto"/>
        <w:left w:val="none" w:sz="0" w:space="0" w:color="auto"/>
        <w:bottom w:val="none" w:sz="0" w:space="0" w:color="auto"/>
        <w:right w:val="none" w:sz="0" w:space="0" w:color="auto"/>
      </w:divBdr>
      <w:divsChild>
        <w:div w:id="1124226468">
          <w:marLeft w:val="0"/>
          <w:marRight w:val="0"/>
          <w:marTop w:val="360"/>
          <w:marBottom w:val="180"/>
          <w:divBdr>
            <w:top w:val="none" w:sz="0" w:space="0" w:color="auto"/>
            <w:left w:val="none" w:sz="0" w:space="0" w:color="auto"/>
            <w:bottom w:val="none" w:sz="0" w:space="0" w:color="auto"/>
            <w:right w:val="none" w:sz="0" w:space="0" w:color="auto"/>
          </w:divBdr>
        </w:div>
      </w:divsChild>
    </w:div>
    <w:div w:id="870414051">
      <w:bodyDiv w:val="1"/>
      <w:marLeft w:val="0"/>
      <w:marRight w:val="0"/>
      <w:marTop w:val="0"/>
      <w:marBottom w:val="0"/>
      <w:divBdr>
        <w:top w:val="none" w:sz="0" w:space="0" w:color="auto"/>
        <w:left w:val="none" w:sz="0" w:space="0" w:color="auto"/>
        <w:bottom w:val="none" w:sz="0" w:space="0" w:color="auto"/>
        <w:right w:val="none" w:sz="0" w:space="0" w:color="auto"/>
      </w:divBdr>
      <w:divsChild>
        <w:div w:id="1870217500">
          <w:marLeft w:val="0"/>
          <w:marRight w:val="0"/>
          <w:marTop w:val="360"/>
          <w:marBottom w:val="180"/>
          <w:divBdr>
            <w:top w:val="none" w:sz="0" w:space="0" w:color="auto"/>
            <w:left w:val="none" w:sz="0" w:space="0" w:color="auto"/>
            <w:bottom w:val="none" w:sz="0" w:space="0" w:color="auto"/>
            <w:right w:val="none" w:sz="0" w:space="0" w:color="auto"/>
          </w:divBdr>
        </w:div>
      </w:divsChild>
    </w:div>
    <w:div w:id="1167285180">
      <w:bodyDiv w:val="1"/>
      <w:marLeft w:val="0"/>
      <w:marRight w:val="0"/>
      <w:marTop w:val="0"/>
      <w:marBottom w:val="0"/>
      <w:divBdr>
        <w:top w:val="none" w:sz="0" w:space="0" w:color="auto"/>
        <w:left w:val="none" w:sz="0" w:space="0" w:color="auto"/>
        <w:bottom w:val="none" w:sz="0" w:space="0" w:color="auto"/>
        <w:right w:val="none" w:sz="0" w:space="0" w:color="auto"/>
      </w:divBdr>
      <w:divsChild>
        <w:div w:id="1846479069">
          <w:marLeft w:val="0"/>
          <w:marRight w:val="0"/>
          <w:marTop w:val="0"/>
          <w:marBottom w:val="0"/>
          <w:divBdr>
            <w:top w:val="none" w:sz="0" w:space="0" w:color="auto"/>
            <w:left w:val="none" w:sz="0" w:space="0" w:color="auto"/>
            <w:bottom w:val="none" w:sz="0" w:space="0" w:color="auto"/>
            <w:right w:val="none" w:sz="0" w:space="0" w:color="auto"/>
          </w:divBdr>
          <w:divsChild>
            <w:div w:id="313876753">
              <w:marLeft w:val="0"/>
              <w:marRight w:val="0"/>
              <w:marTop w:val="0"/>
              <w:marBottom w:val="0"/>
              <w:divBdr>
                <w:top w:val="none" w:sz="0" w:space="0" w:color="auto"/>
                <w:left w:val="none" w:sz="0" w:space="0" w:color="auto"/>
                <w:bottom w:val="none" w:sz="0" w:space="0" w:color="auto"/>
                <w:right w:val="none" w:sz="0" w:space="0" w:color="auto"/>
              </w:divBdr>
              <w:divsChild>
                <w:div w:id="1866677206">
                  <w:marLeft w:val="0"/>
                  <w:marRight w:val="0"/>
                  <w:marTop w:val="0"/>
                  <w:marBottom w:val="0"/>
                  <w:divBdr>
                    <w:top w:val="none" w:sz="0" w:space="0" w:color="auto"/>
                    <w:left w:val="none" w:sz="0" w:space="0" w:color="auto"/>
                    <w:bottom w:val="none" w:sz="0" w:space="0" w:color="auto"/>
                    <w:right w:val="none" w:sz="0" w:space="0" w:color="auto"/>
                  </w:divBdr>
                  <w:divsChild>
                    <w:div w:id="1353991739">
                      <w:marLeft w:val="0"/>
                      <w:marRight w:val="0"/>
                      <w:marTop w:val="0"/>
                      <w:marBottom w:val="0"/>
                      <w:divBdr>
                        <w:top w:val="none" w:sz="0" w:space="0" w:color="auto"/>
                        <w:left w:val="none" w:sz="0" w:space="0" w:color="auto"/>
                        <w:bottom w:val="none" w:sz="0" w:space="0" w:color="auto"/>
                        <w:right w:val="none" w:sz="0" w:space="0" w:color="auto"/>
                      </w:divBdr>
                      <w:divsChild>
                        <w:div w:id="644546829">
                          <w:marLeft w:val="0"/>
                          <w:marRight w:val="0"/>
                          <w:marTop w:val="0"/>
                          <w:marBottom w:val="0"/>
                          <w:divBdr>
                            <w:top w:val="none" w:sz="0" w:space="0" w:color="auto"/>
                            <w:left w:val="none" w:sz="0" w:space="0" w:color="auto"/>
                            <w:bottom w:val="none" w:sz="0" w:space="0" w:color="auto"/>
                            <w:right w:val="none" w:sz="0" w:space="0" w:color="auto"/>
                          </w:divBdr>
                          <w:divsChild>
                            <w:div w:id="1793941979">
                              <w:marLeft w:val="0"/>
                              <w:marRight w:val="0"/>
                              <w:marTop w:val="0"/>
                              <w:marBottom w:val="0"/>
                              <w:divBdr>
                                <w:top w:val="none" w:sz="0" w:space="0" w:color="auto"/>
                                <w:left w:val="none" w:sz="0" w:space="0" w:color="auto"/>
                                <w:bottom w:val="none" w:sz="0" w:space="0" w:color="auto"/>
                                <w:right w:val="none" w:sz="0" w:space="0" w:color="auto"/>
                              </w:divBdr>
                              <w:divsChild>
                                <w:div w:id="483083979">
                                  <w:marLeft w:val="0"/>
                                  <w:marRight w:val="0"/>
                                  <w:marTop w:val="0"/>
                                  <w:marBottom w:val="0"/>
                                  <w:divBdr>
                                    <w:top w:val="none" w:sz="0" w:space="0" w:color="auto"/>
                                    <w:left w:val="none" w:sz="0" w:space="0" w:color="auto"/>
                                    <w:bottom w:val="none" w:sz="0" w:space="0" w:color="auto"/>
                                    <w:right w:val="none" w:sz="0" w:space="0" w:color="auto"/>
                                  </w:divBdr>
                                  <w:divsChild>
                                    <w:div w:id="1441029708">
                                      <w:marLeft w:val="0"/>
                                      <w:marRight w:val="0"/>
                                      <w:marTop w:val="0"/>
                                      <w:marBottom w:val="0"/>
                                      <w:divBdr>
                                        <w:top w:val="none" w:sz="0" w:space="0" w:color="auto"/>
                                        <w:left w:val="none" w:sz="0" w:space="0" w:color="auto"/>
                                        <w:bottom w:val="none" w:sz="0" w:space="0" w:color="auto"/>
                                        <w:right w:val="none" w:sz="0" w:space="0" w:color="auto"/>
                                      </w:divBdr>
                                      <w:divsChild>
                                        <w:div w:id="265232692">
                                          <w:marLeft w:val="0"/>
                                          <w:marRight w:val="0"/>
                                          <w:marTop w:val="0"/>
                                          <w:marBottom w:val="0"/>
                                          <w:divBdr>
                                            <w:top w:val="none" w:sz="0" w:space="0" w:color="auto"/>
                                            <w:left w:val="none" w:sz="0" w:space="0" w:color="auto"/>
                                            <w:bottom w:val="none" w:sz="0" w:space="0" w:color="auto"/>
                                            <w:right w:val="none" w:sz="0" w:space="0" w:color="auto"/>
                                          </w:divBdr>
                                          <w:divsChild>
                                            <w:div w:id="282425723">
                                              <w:marLeft w:val="0"/>
                                              <w:marRight w:val="0"/>
                                              <w:marTop w:val="0"/>
                                              <w:marBottom w:val="0"/>
                                              <w:divBdr>
                                                <w:top w:val="none" w:sz="0" w:space="0" w:color="auto"/>
                                                <w:left w:val="none" w:sz="0" w:space="0" w:color="auto"/>
                                                <w:bottom w:val="none" w:sz="0" w:space="0" w:color="auto"/>
                                                <w:right w:val="none" w:sz="0" w:space="0" w:color="auto"/>
                                              </w:divBdr>
                                              <w:divsChild>
                                                <w:div w:id="917641905">
                                                  <w:marLeft w:val="0"/>
                                                  <w:marRight w:val="0"/>
                                                  <w:marTop w:val="180"/>
                                                  <w:marBottom w:val="240"/>
                                                  <w:divBdr>
                                                    <w:top w:val="none" w:sz="0" w:space="0" w:color="auto"/>
                                                    <w:left w:val="none" w:sz="0" w:space="0" w:color="auto"/>
                                                    <w:bottom w:val="none" w:sz="0" w:space="0" w:color="auto"/>
                                                    <w:right w:val="none" w:sz="0" w:space="0" w:color="auto"/>
                                                  </w:divBdr>
                                                </w:div>
                                                <w:div w:id="427047199">
                                                  <w:marLeft w:val="0"/>
                                                  <w:marRight w:val="0"/>
                                                  <w:marTop w:val="360"/>
                                                  <w:marBottom w:val="180"/>
                                                  <w:divBdr>
                                                    <w:top w:val="none" w:sz="0" w:space="0" w:color="auto"/>
                                                    <w:left w:val="none" w:sz="0" w:space="0" w:color="auto"/>
                                                    <w:bottom w:val="none" w:sz="0" w:space="0" w:color="auto"/>
                                                    <w:right w:val="none" w:sz="0" w:space="0" w:color="auto"/>
                                                  </w:divBdr>
                                                </w:div>
                                                <w:div w:id="1715038556">
                                                  <w:marLeft w:val="0"/>
                                                  <w:marRight w:val="0"/>
                                                  <w:marTop w:val="180"/>
                                                  <w:marBottom w:val="240"/>
                                                  <w:divBdr>
                                                    <w:top w:val="none" w:sz="0" w:space="0" w:color="auto"/>
                                                    <w:left w:val="none" w:sz="0" w:space="0" w:color="auto"/>
                                                    <w:bottom w:val="none" w:sz="0" w:space="0" w:color="auto"/>
                                                    <w:right w:val="none" w:sz="0" w:space="0" w:color="auto"/>
                                                  </w:divBdr>
                                                </w:div>
                                                <w:div w:id="530337032">
                                                  <w:marLeft w:val="0"/>
                                                  <w:marRight w:val="0"/>
                                                  <w:marTop w:val="360"/>
                                                  <w:marBottom w:val="180"/>
                                                  <w:divBdr>
                                                    <w:top w:val="none" w:sz="0" w:space="0" w:color="auto"/>
                                                    <w:left w:val="none" w:sz="0" w:space="0" w:color="auto"/>
                                                    <w:bottom w:val="none" w:sz="0" w:space="0" w:color="auto"/>
                                                    <w:right w:val="none" w:sz="0" w:space="0" w:color="auto"/>
                                                  </w:divBdr>
                                                </w:div>
                                                <w:div w:id="1205021485">
                                                  <w:marLeft w:val="0"/>
                                                  <w:marRight w:val="0"/>
                                                  <w:marTop w:val="180"/>
                                                  <w:marBottom w:val="240"/>
                                                  <w:divBdr>
                                                    <w:top w:val="none" w:sz="0" w:space="0" w:color="auto"/>
                                                    <w:left w:val="none" w:sz="0" w:space="0" w:color="auto"/>
                                                    <w:bottom w:val="none" w:sz="0" w:space="0" w:color="auto"/>
                                                    <w:right w:val="none" w:sz="0" w:space="0" w:color="auto"/>
                                                  </w:divBdr>
                                                </w:div>
                                                <w:div w:id="631400200">
                                                  <w:marLeft w:val="0"/>
                                                  <w:marRight w:val="0"/>
                                                  <w:marTop w:val="360"/>
                                                  <w:marBottom w:val="180"/>
                                                  <w:divBdr>
                                                    <w:top w:val="none" w:sz="0" w:space="0" w:color="auto"/>
                                                    <w:left w:val="none" w:sz="0" w:space="0" w:color="auto"/>
                                                    <w:bottom w:val="none" w:sz="0" w:space="0" w:color="auto"/>
                                                    <w:right w:val="none" w:sz="0" w:space="0" w:color="auto"/>
                                                  </w:divBdr>
                                                </w:div>
                                                <w:div w:id="529219709">
                                                  <w:marLeft w:val="0"/>
                                                  <w:marRight w:val="0"/>
                                                  <w:marTop w:val="0"/>
                                                  <w:marBottom w:val="0"/>
                                                  <w:divBdr>
                                                    <w:top w:val="none" w:sz="0" w:space="0" w:color="auto"/>
                                                    <w:left w:val="none" w:sz="0" w:space="0" w:color="auto"/>
                                                    <w:bottom w:val="none" w:sz="0" w:space="0" w:color="auto"/>
                                                    <w:right w:val="none" w:sz="0" w:space="0" w:color="auto"/>
                                                  </w:divBdr>
                                                  <w:divsChild>
                                                    <w:div w:id="17743228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948579">
          <w:marLeft w:val="0"/>
          <w:marRight w:val="0"/>
          <w:marTop w:val="0"/>
          <w:marBottom w:val="0"/>
          <w:divBdr>
            <w:top w:val="none" w:sz="0" w:space="0" w:color="auto"/>
            <w:left w:val="none" w:sz="0" w:space="0" w:color="auto"/>
            <w:bottom w:val="none" w:sz="0" w:space="0" w:color="auto"/>
            <w:right w:val="none" w:sz="0" w:space="0" w:color="auto"/>
          </w:divBdr>
          <w:divsChild>
            <w:div w:id="1674139342">
              <w:marLeft w:val="0"/>
              <w:marRight w:val="0"/>
              <w:marTop w:val="0"/>
              <w:marBottom w:val="0"/>
              <w:divBdr>
                <w:top w:val="none" w:sz="0" w:space="0" w:color="auto"/>
                <w:left w:val="none" w:sz="0" w:space="0" w:color="auto"/>
                <w:bottom w:val="none" w:sz="0" w:space="0" w:color="auto"/>
                <w:right w:val="none" w:sz="0" w:space="0" w:color="auto"/>
              </w:divBdr>
              <w:divsChild>
                <w:div w:id="1738243697">
                  <w:marLeft w:val="0"/>
                  <w:marRight w:val="0"/>
                  <w:marTop w:val="0"/>
                  <w:marBottom w:val="0"/>
                  <w:divBdr>
                    <w:top w:val="none" w:sz="0" w:space="0" w:color="auto"/>
                    <w:left w:val="none" w:sz="0" w:space="0" w:color="auto"/>
                    <w:bottom w:val="none" w:sz="0" w:space="0" w:color="auto"/>
                    <w:right w:val="none" w:sz="0" w:space="0" w:color="auto"/>
                  </w:divBdr>
                  <w:divsChild>
                    <w:div w:id="242035394">
                      <w:marLeft w:val="0"/>
                      <w:marRight w:val="0"/>
                      <w:marTop w:val="0"/>
                      <w:marBottom w:val="0"/>
                      <w:divBdr>
                        <w:top w:val="none" w:sz="0" w:space="0" w:color="auto"/>
                        <w:left w:val="none" w:sz="0" w:space="0" w:color="auto"/>
                        <w:bottom w:val="none" w:sz="0" w:space="0" w:color="auto"/>
                        <w:right w:val="none" w:sz="0" w:space="0" w:color="auto"/>
                      </w:divBdr>
                      <w:divsChild>
                        <w:div w:id="265696694">
                          <w:marLeft w:val="0"/>
                          <w:marRight w:val="0"/>
                          <w:marTop w:val="0"/>
                          <w:marBottom w:val="0"/>
                          <w:divBdr>
                            <w:top w:val="none" w:sz="0" w:space="0" w:color="auto"/>
                            <w:left w:val="none" w:sz="0" w:space="0" w:color="auto"/>
                            <w:bottom w:val="none" w:sz="0" w:space="0" w:color="auto"/>
                            <w:right w:val="none" w:sz="0" w:space="0" w:color="auto"/>
                          </w:divBdr>
                          <w:divsChild>
                            <w:div w:id="224488880">
                              <w:marLeft w:val="0"/>
                              <w:marRight w:val="0"/>
                              <w:marTop w:val="0"/>
                              <w:marBottom w:val="0"/>
                              <w:divBdr>
                                <w:top w:val="none" w:sz="0" w:space="0" w:color="auto"/>
                                <w:left w:val="none" w:sz="0" w:space="0" w:color="auto"/>
                                <w:bottom w:val="none" w:sz="0" w:space="0" w:color="auto"/>
                                <w:right w:val="none" w:sz="0" w:space="0" w:color="auto"/>
                              </w:divBdr>
                              <w:divsChild>
                                <w:div w:id="1054431485">
                                  <w:marLeft w:val="0"/>
                                  <w:marRight w:val="0"/>
                                  <w:marTop w:val="0"/>
                                  <w:marBottom w:val="0"/>
                                  <w:divBdr>
                                    <w:top w:val="none" w:sz="0" w:space="0" w:color="auto"/>
                                    <w:left w:val="none" w:sz="0" w:space="0" w:color="auto"/>
                                    <w:bottom w:val="none" w:sz="0" w:space="0" w:color="auto"/>
                                    <w:right w:val="none" w:sz="0" w:space="0" w:color="auto"/>
                                  </w:divBdr>
                                  <w:divsChild>
                                    <w:div w:id="39639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274847">
          <w:marLeft w:val="0"/>
          <w:marRight w:val="0"/>
          <w:marTop w:val="0"/>
          <w:marBottom w:val="0"/>
          <w:divBdr>
            <w:top w:val="none" w:sz="0" w:space="0" w:color="auto"/>
            <w:left w:val="none" w:sz="0" w:space="0" w:color="auto"/>
            <w:bottom w:val="none" w:sz="0" w:space="0" w:color="auto"/>
            <w:right w:val="none" w:sz="0" w:space="0" w:color="auto"/>
          </w:divBdr>
          <w:divsChild>
            <w:div w:id="1032653456">
              <w:marLeft w:val="0"/>
              <w:marRight w:val="0"/>
              <w:marTop w:val="0"/>
              <w:marBottom w:val="0"/>
              <w:divBdr>
                <w:top w:val="none" w:sz="0" w:space="0" w:color="auto"/>
                <w:left w:val="none" w:sz="0" w:space="0" w:color="auto"/>
                <w:bottom w:val="none" w:sz="0" w:space="0" w:color="auto"/>
                <w:right w:val="none" w:sz="0" w:space="0" w:color="auto"/>
              </w:divBdr>
              <w:divsChild>
                <w:div w:id="1817408982">
                  <w:marLeft w:val="0"/>
                  <w:marRight w:val="0"/>
                  <w:marTop w:val="0"/>
                  <w:marBottom w:val="0"/>
                  <w:divBdr>
                    <w:top w:val="none" w:sz="0" w:space="0" w:color="auto"/>
                    <w:left w:val="none" w:sz="0" w:space="0" w:color="auto"/>
                    <w:bottom w:val="none" w:sz="0" w:space="0" w:color="auto"/>
                    <w:right w:val="none" w:sz="0" w:space="0" w:color="auto"/>
                  </w:divBdr>
                  <w:divsChild>
                    <w:div w:id="1427117113">
                      <w:marLeft w:val="0"/>
                      <w:marRight w:val="0"/>
                      <w:marTop w:val="0"/>
                      <w:marBottom w:val="0"/>
                      <w:divBdr>
                        <w:top w:val="none" w:sz="0" w:space="0" w:color="auto"/>
                        <w:left w:val="none" w:sz="0" w:space="0" w:color="auto"/>
                        <w:bottom w:val="none" w:sz="0" w:space="0" w:color="auto"/>
                        <w:right w:val="none" w:sz="0" w:space="0" w:color="auto"/>
                      </w:divBdr>
                      <w:divsChild>
                        <w:div w:id="444345766">
                          <w:marLeft w:val="0"/>
                          <w:marRight w:val="0"/>
                          <w:marTop w:val="0"/>
                          <w:marBottom w:val="0"/>
                          <w:divBdr>
                            <w:top w:val="none" w:sz="0" w:space="0" w:color="auto"/>
                            <w:left w:val="none" w:sz="0" w:space="0" w:color="auto"/>
                            <w:bottom w:val="none" w:sz="0" w:space="0" w:color="auto"/>
                            <w:right w:val="none" w:sz="0" w:space="0" w:color="auto"/>
                          </w:divBdr>
                          <w:divsChild>
                            <w:div w:id="887689054">
                              <w:marLeft w:val="0"/>
                              <w:marRight w:val="0"/>
                              <w:marTop w:val="0"/>
                              <w:marBottom w:val="0"/>
                              <w:divBdr>
                                <w:top w:val="none" w:sz="0" w:space="0" w:color="auto"/>
                                <w:left w:val="none" w:sz="0" w:space="0" w:color="auto"/>
                                <w:bottom w:val="none" w:sz="0" w:space="0" w:color="auto"/>
                                <w:right w:val="none" w:sz="0" w:space="0" w:color="auto"/>
                              </w:divBdr>
                              <w:divsChild>
                                <w:div w:id="1366952028">
                                  <w:marLeft w:val="0"/>
                                  <w:marRight w:val="0"/>
                                  <w:marTop w:val="0"/>
                                  <w:marBottom w:val="0"/>
                                  <w:divBdr>
                                    <w:top w:val="none" w:sz="0" w:space="0" w:color="auto"/>
                                    <w:left w:val="none" w:sz="0" w:space="0" w:color="auto"/>
                                    <w:bottom w:val="none" w:sz="0" w:space="0" w:color="auto"/>
                                    <w:right w:val="none" w:sz="0" w:space="0" w:color="auto"/>
                                  </w:divBdr>
                                  <w:divsChild>
                                    <w:div w:id="258028123">
                                      <w:marLeft w:val="0"/>
                                      <w:marRight w:val="0"/>
                                      <w:marTop w:val="0"/>
                                      <w:marBottom w:val="0"/>
                                      <w:divBdr>
                                        <w:top w:val="none" w:sz="0" w:space="0" w:color="auto"/>
                                        <w:left w:val="none" w:sz="0" w:space="0" w:color="auto"/>
                                        <w:bottom w:val="none" w:sz="0" w:space="0" w:color="auto"/>
                                        <w:right w:val="none" w:sz="0" w:space="0" w:color="auto"/>
                                      </w:divBdr>
                                      <w:divsChild>
                                        <w:div w:id="1074668056">
                                          <w:marLeft w:val="0"/>
                                          <w:marRight w:val="0"/>
                                          <w:marTop w:val="0"/>
                                          <w:marBottom w:val="0"/>
                                          <w:divBdr>
                                            <w:top w:val="none" w:sz="0" w:space="0" w:color="auto"/>
                                            <w:left w:val="none" w:sz="0" w:space="0" w:color="auto"/>
                                            <w:bottom w:val="none" w:sz="0" w:space="0" w:color="auto"/>
                                            <w:right w:val="none" w:sz="0" w:space="0" w:color="auto"/>
                                          </w:divBdr>
                                          <w:divsChild>
                                            <w:div w:id="660811529">
                                              <w:marLeft w:val="0"/>
                                              <w:marRight w:val="0"/>
                                              <w:marTop w:val="180"/>
                                              <w:marBottom w:val="240"/>
                                              <w:divBdr>
                                                <w:top w:val="none" w:sz="0" w:space="0" w:color="auto"/>
                                                <w:left w:val="none" w:sz="0" w:space="0" w:color="auto"/>
                                                <w:bottom w:val="none" w:sz="0" w:space="0" w:color="auto"/>
                                                <w:right w:val="none" w:sz="0" w:space="0" w:color="auto"/>
                                              </w:divBdr>
                                            </w:div>
                                            <w:div w:id="30036032">
                                              <w:marLeft w:val="0"/>
                                              <w:marRight w:val="0"/>
                                              <w:marTop w:val="180"/>
                                              <w:marBottom w:val="240"/>
                                              <w:divBdr>
                                                <w:top w:val="none" w:sz="0" w:space="0" w:color="auto"/>
                                                <w:left w:val="none" w:sz="0" w:space="0" w:color="auto"/>
                                                <w:bottom w:val="none" w:sz="0" w:space="0" w:color="auto"/>
                                                <w:right w:val="none" w:sz="0" w:space="0" w:color="auto"/>
                                              </w:divBdr>
                                            </w:div>
                                            <w:div w:id="1048412046">
                                              <w:marLeft w:val="0"/>
                                              <w:marRight w:val="0"/>
                                              <w:marTop w:val="360"/>
                                              <w:marBottom w:val="180"/>
                                              <w:divBdr>
                                                <w:top w:val="none" w:sz="0" w:space="0" w:color="auto"/>
                                                <w:left w:val="none" w:sz="0" w:space="0" w:color="auto"/>
                                                <w:bottom w:val="none" w:sz="0" w:space="0" w:color="auto"/>
                                                <w:right w:val="none" w:sz="0" w:space="0" w:color="auto"/>
                                              </w:divBdr>
                                            </w:div>
                                            <w:div w:id="461506626">
                                              <w:marLeft w:val="0"/>
                                              <w:marRight w:val="0"/>
                                              <w:marTop w:val="180"/>
                                              <w:marBottom w:val="240"/>
                                              <w:divBdr>
                                                <w:top w:val="none" w:sz="0" w:space="0" w:color="auto"/>
                                                <w:left w:val="none" w:sz="0" w:space="0" w:color="auto"/>
                                                <w:bottom w:val="none" w:sz="0" w:space="0" w:color="auto"/>
                                                <w:right w:val="none" w:sz="0" w:space="0" w:color="auto"/>
                                              </w:divBdr>
                                            </w:div>
                                            <w:div w:id="21590078">
                                              <w:marLeft w:val="0"/>
                                              <w:marRight w:val="0"/>
                                              <w:marTop w:val="360"/>
                                              <w:marBottom w:val="180"/>
                                              <w:divBdr>
                                                <w:top w:val="none" w:sz="0" w:space="0" w:color="auto"/>
                                                <w:left w:val="none" w:sz="0" w:space="0" w:color="auto"/>
                                                <w:bottom w:val="none" w:sz="0" w:space="0" w:color="auto"/>
                                                <w:right w:val="none" w:sz="0" w:space="0" w:color="auto"/>
                                              </w:divBdr>
                                            </w:div>
                                            <w:div w:id="858811752">
                                              <w:marLeft w:val="0"/>
                                              <w:marRight w:val="0"/>
                                              <w:marTop w:val="180"/>
                                              <w:marBottom w:val="240"/>
                                              <w:divBdr>
                                                <w:top w:val="none" w:sz="0" w:space="0" w:color="auto"/>
                                                <w:left w:val="none" w:sz="0" w:space="0" w:color="auto"/>
                                                <w:bottom w:val="none" w:sz="0" w:space="0" w:color="auto"/>
                                                <w:right w:val="none" w:sz="0" w:space="0" w:color="auto"/>
                                              </w:divBdr>
                                            </w:div>
                                            <w:div w:id="330447756">
                                              <w:marLeft w:val="0"/>
                                              <w:marRight w:val="0"/>
                                              <w:marTop w:val="180"/>
                                              <w:marBottom w:val="240"/>
                                              <w:divBdr>
                                                <w:top w:val="none" w:sz="0" w:space="0" w:color="auto"/>
                                                <w:left w:val="none" w:sz="0" w:space="0" w:color="auto"/>
                                                <w:bottom w:val="none" w:sz="0" w:space="0" w:color="auto"/>
                                                <w:right w:val="none" w:sz="0" w:space="0" w:color="auto"/>
                                              </w:divBdr>
                                            </w:div>
                                            <w:div w:id="150291720">
                                              <w:marLeft w:val="0"/>
                                              <w:marRight w:val="0"/>
                                              <w:marTop w:val="360"/>
                                              <w:marBottom w:val="180"/>
                                              <w:divBdr>
                                                <w:top w:val="none" w:sz="0" w:space="0" w:color="auto"/>
                                                <w:left w:val="none" w:sz="0" w:space="0" w:color="auto"/>
                                                <w:bottom w:val="none" w:sz="0" w:space="0" w:color="auto"/>
                                                <w:right w:val="none" w:sz="0" w:space="0" w:color="auto"/>
                                              </w:divBdr>
                                            </w:div>
                                            <w:div w:id="1826584908">
                                              <w:marLeft w:val="0"/>
                                              <w:marRight w:val="0"/>
                                              <w:marTop w:val="180"/>
                                              <w:marBottom w:val="240"/>
                                              <w:divBdr>
                                                <w:top w:val="none" w:sz="0" w:space="0" w:color="auto"/>
                                                <w:left w:val="none" w:sz="0" w:space="0" w:color="auto"/>
                                                <w:bottom w:val="none" w:sz="0" w:space="0" w:color="auto"/>
                                                <w:right w:val="none" w:sz="0" w:space="0" w:color="auto"/>
                                              </w:divBdr>
                                            </w:div>
                                            <w:div w:id="1483960296">
                                              <w:marLeft w:val="0"/>
                                              <w:marRight w:val="0"/>
                                              <w:marTop w:val="360"/>
                                              <w:marBottom w:val="180"/>
                                              <w:divBdr>
                                                <w:top w:val="none" w:sz="0" w:space="0" w:color="auto"/>
                                                <w:left w:val="none" w:sz="0" w:space="0" w:color="auto"/>
                                                <w:bottom w:val="none" w:sz="0" w:space="0" w:color="auto"/>
                                                <w:right w:val="none" w:sz="0" w:space="0" w:color="auto"/>
                                              </w:divBdr>
                                            </w:div>
                                            <w:div w:id="1174800167">
                                              <w:marLeft w:val="0"/>
                                              <w:marRight w:val="0"/>
                                              <w:marTop w:val="180"/>
                                              <w:marBottom w:val="240"/>
                                              <w:divBdr>
                                                <w:top w:val="none" w:sz="0" w:space="0" w:color="auto"/>
                                                <w:left w:val="none" w:sz="0" w:space="0" w:color="auto"/>
                                                <w:bottom w:val="none" w:sz="0" w:space="0" w:color="auto"/>
                                                <w:right w:val="none" w:sz="0" w:space="0" w:color="auto"/>
                                              </w:divBdr>
                                            </w:div>
                                            <w:div w:id="1677536741">
                                              <w:marLeft w:val="0"/>
                                              <w:marRight w:val="0"/>
                                              <w:marTop w:val="0"/>
                                              <w:marBottom w:val="0"/>
                                              <w:divBdr>
                                                <w:top w:val="none" w:sz="0" w:space="0" w:color="auto"/>
                                                <w:left w:val="none" w:sz="0" w:space="0" w:color="auto"/>
                                                <w:bottom w:val="none" w:sz="0" w:space="0" w:color="auto"/>
                                                <w:right w:val="none" w:sz="0" w:space="0" w:color="auto"/>
                                              </w:divBdr>
                                              <w:divsChild>
                                                <w:div w:id="111378573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105277">
      <w:bodyDiv w:val="1"/>
      <w:marLeft w:val="0"/>
      <w:marRight w:val="0"/>
      <w:marTop w:val="0"/>
      <w:marBottom w:val="0"/>
      <w:divBdr>
        <w:top w:val="none" w:sz="0" w:space="0" w:color="auto"/>
        <w:left w:val="none" w:sz="0" w:space="0" w:color="auto"/>
        <w:bottom w:val="none" w:sz="0" w:space="0" w:color="auto"/>
        <w:right w:val="none" w:sz="0" w:space="0" w:color="auto"/>
      </w:divBdr>
      <w:divsChild>
        <w:div w:id="2062174098">
          <w:marLeft w:val="0"/>
          <w:marRight w:val="0"/>
          <w:marTop w:val="240"/>
          <w:marBottom w:val="240"/>
          <w:divBdr>
            <w:top w:val="none" w:sz="0" w:space="0" w:color="auto"/>
            <w:left w:val="none" w:sz="0" w:space="0" w:color="auto"/>
            <w:bottom w:val="none" w:sz="0" w:space="0" w:color="auto"/>
            <w:right w:val="none" w:sz="0" w:space="0" w:color="auto"/>
          </w:divBdr>
        </w:div>
        <w:div w:id="1452935955">
          <w:marLeft w:val="0"/>
          <w:marRight w:val="0"/>
          <w:marTop w:val="240"/>
          <w:marBottom w:val="240"/>
          <w:divBdr>
            <w:top w:val="none" w:sz="0" w:space="0" w:color="auto"/>
            <w:left w:val="none" w:sz="0" w:space="0" w:color="auto"/>
            <w:bottom w:val="none" w:sz="0" w:space="0" w:color="auto"/>
            <w:right w:val="none" w:sz="0" w:space="0" w:color="auto"/>
          </w:divBdr>
        </w:div>
        <w:div w:id="1820606497">
          <w:marLeft w:val="0"/>
          <w:marRight w:val="0"/>
          <w:marTop w:val="240"/>
          <w:marBottom w:val="240"/>
          <w:divBdr>
            <w:top w:val="none" w:sz="0" w:space="0" w:color="auto"/>
            <w:left w:val="none" w:sz="0" w:space="0" w:color="auto"/>
            <w:bottom w:val="none" w:sz="0" w:space="0" w:color="auto"/>
            <w:right w:val="none" w:sz="0" w:space="0" w:color="auto"/>
          </w:divBdr>
        </w:div>
        <w:div w:id="1552573366">
          <w:marLeft w:val="0"/>
          <w:marRight w:val="0"/>
          <w:marTop w:val="0"/>
          <w:marBottom w:val="0"/>
          <w:divBdr>
            <w:top w:val="none" w:sz="0" w:space="0" w:color="auto"/>
            <w:left w:val="none" w:sz="0" w:space="0" w:color="auto"/>
            <w:bottom w:val="none" w:sz="0" w:space="0" w:color="auto"/>
            <w:right w:val="none" w:sz="0" w:space="0" w:color="auto"/>
          </w:divBdr>
        </w:div>
        <w:div w:id="1935236157">
          <w:marLeft w:val="0"/>
          <w:marRight w:val="0"/>
          <w:marTop w:val="240"/>
          <w:marBottom w:val="240"/>
          <w:divBdr>
            <w:top w:val="none" w:sz="0" w:space="0" w:color="auto"/>
            <w:left w:val="none" w:sz="0" w:space="0" w:color="auto"/>
            <w:bottom w:val="none" w:sz="0" w:space="0" w:color="auto"/>
            <w:right w:val="none" w:sz="0" w:space="0" w:color="auto"/>
          </w:divBdr>
        </w:div>
        <w:div w:id="885683344">
          <w:marLeft w:val="0"/>
          <w:marRight w:val="0"/>
          <w:marTop w:val="0"/>
          <w:marBottom w:val="0"/>
          <w:divBdr>
            <w:top w:val="none" w:sz="0" w:space="0" w:color="auto"/>
            <w:left w:val="none" w:sz="0" w:space="0" w:color="auto"/>
            <w:bottom w:val="none" w:sz="0" w:space="0" w:color="auto"/>
            <w:right w:val="none" w:sz="0" w:space="0" w:color="auto"/>
          </w:divBdr>
        </w:div>
        <w:div w:id="1452170813">
          <w:marLeft w:val="0"/>
          <w:marRight w:val="0"/>
          <w:marTop w:val="240"/>
          <w:marBottom w:val="240"/>
          <w:divBdr>
            <w:top w:val="none" w:sz="0" w:space="0" w:color="auto"/>
            <w:left w:val="none" w:sz="0" w:space="0" w:color="auto"/>
            <w:bottom w:val="none" w:sz="0" w:space="0" w:color="auto"/>
            <w:right w:val="none" w:sz="0" w:space="0" w:color="auto"/>
          </w:divBdr>
        </w:div>
        <w:div w:id="1668053686">
          <w:marLeft w:val="0"/>
          <w:marRight w:val="0"/>
          <w:marTop w:val="0"/>
          <w:marBottom w:val="0"/>
          <w:divBdr>
            <w:top w:val="none" w:sz="0" w:space="0" w:color="auto"/>
            <w:left w:val="none" w:sz="0" w:space="0" w:color="auto"/>
            <w:bottom w:val="none" w:sz="0" w:space="0" w:color="auto"/>
            <w:right w:val="none" w:sz="0" w:space="0" w:color="auto"/>
          </w:divBdr>
        </w:div>
      </w:divsChild>
    </w:div>
    <w:div w:id="1616130144">
      <w:bodyDiv w:val="1"/>
      <w:marLeft w:val="0"/>
      <w:marRight w:val="0"/>
      <w:marTop w:val="0"/>
      <w:marBottom w:val="0"/>
      <w:divBdr>
        <w:top w:val="none" w:sz="0" w:space="0" w:color="auto"/>
        <w:left w:val="none" w:sz="0" w:space="0" w:color="auto"/>
        <w:bottom w:val="none" w:sz="0" w:space="0" w:color="auto"/>
        <w:right w:val="none" w:sz="0" w:space="0" w:color="auto"/>
      </w:divBdr>
      <w:divsChild>
        <w:div w:id="93602260">
          <w:marLeft w:val="0"/>
          <w:marRight w:val="0"/>
          <w:marTop w:val="240"/>
          <w:marBottom w:val="240"/>
          <w:divBdr>
            <w:top w:val="none" w:sz="0" w:space="0" w:color="auto"/>
            <w:left w:val="none" w:sz="0" w:space="0" w:color="auto"/>
            <w:bottom w:val="none" w:sz="0" w:space="0" w:color="auto"/>
            <w:right w:val="none" w:sz="0" w:space="0" w:color="auto"/>
          </w:divBdr>
        </w:div>
        <w:div w:id="166554227">
          <w:marLeft w:val="0"/>
          <w:marRight w:val="0"/>
          <w:marTop w:val="240"/>
          <w:marBottom w:val="240"/>
          <w:divBdr>
            <w:top w:val="none" w:sz="0" w:space="0" w:color="auto"/>
            <w:left w:val="none" w:sz="0" w:space="0" w:color="auto"/>
            <w:bottom w:val="none" w:sz="0" w:space="0" w:color="auto"/>
            <w:right w:val="none" w:sz="0" w:space="0" w:color="auto"/>
          </w:divBdr>
        </w:div>
        <w:div w:id="1797748962">
          <w:marLeft w:val="0"/>
          <w:marRight w:val="0"/>
          <w:marTop w:val="240"/>
          <w:marBottom w:val="240"/>
          <w:divBdr>
            <w:top w:val="none" w:sz="0" w:space="0" w:color="auto"/>
            <w:left w:val="none" w:sz="0" w:space="0" w:color="auto"/>
            <w:bottom w:val="none" w:sz="0" w:space="0" w:color="auto"/>
            <w:right w:val="none" w:sz="0" w:space="0" w:color="auto"/>
          </w:divBdr>
        </w:div>
        <w:div w:id="864636422">
          <w:marLeft w:val="0"/>
          <w:marRight w:val="0"/>
          <w:marTop w:val="0"/>
          <w:marBottom w:val="0"/>
          <w:divBdr>
            <w:top w:val="none" w:sz="0" w:space="0" w:color="auto"/>
            <w:left w:val="none" w:sz="0" w:space="0" w:color="auto"/>
            <w:bottom w:val="none" w:sz="0" w:space="0" w:color="auto"/>
            <w:right w:val="none" w:sz="0" w:space="0" w:color="auto"/>
          </w:divBdr>
        </w:div>
        <w:div w:id="1242181327">
          <w:marLeft w:val="0"/>
          <w:marRight w:val="0"/>
          <w:marTop w:val="240"/>
          <w:marBottom w:val="240"/>
          <w:divBdr>
            <w:top w:val="none" w:sz="0" w:space="0" w:color="auto"/>
            <w:left w:val="none" w:sz="0" w:space="0" w:color="auto"/>
            <w:bottom w:val="none" w:sz="0" w:space="0" w:color="auto"/>
            <w:right w:val="none" w:sz="0" w:space="0" w:color="auto"/>
          </w:divBdr>
        </w:div>
        <w:div w:id="945576695">
          <w:marLeft w:val="0"/>
          <w:marRight w:val="0"/>
          <w:marTop w:val="0"/>
          <w:marBottom w:val="0"/>
          <w:divBdr>
            <w:top w:val="none" w:sz="0" w:space="0" w:color="auto"/>
            <w:left w:val="none" w:sz="0" w:space="0" w:color="auto"/>
            <w:bottom w:val="none" w:sz="0" w:space="0" w:color="auto"/>
            <w:right w:val="none" w:sz="0" w:space="0" w:color="auto"/>
          </w:divBdr>
        </w:div>
        <w:div w:id="1626735659">
          <w:marLeft w:val="0"/>
          <w:marRight w:val="0"/>
          <w:marTop w:val="240"/>
          <w:marBottom w:val="240"/>
          <w:divBdr>
            <w:top w:val="none" w:sz="0" w:space="0" w:color="auto"/>
            <w:left w:val="none" w:sz="0" w:space="0" w:color="auto"/>
            <w:bottom w:val="none" w:sz="0" w:space="0" w:color="auto"/>
            <w:right w:val="none" w:sz="0" w:space="0" w:color="auto"/>
          </w:divBdr>
        </w:div>
        <w:div w:id="15614782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5090</Words>
  <Characters>29019</Characters>
  <Application>Microsoft Office Word</Application>
  <DocSecurity>0</DocSecurity>
  <Lines>241</Lines>
  <Paragraphs>68</Paragraphs>
  <ScaleCrop>false</ScaleCrop>
  <Company>Computer</Company>
  <LinksUpToDate>false</LinksUpToDate>
  <CharactersWithSpaces>34041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nitish kushawaha</cp:lastModifiedBy>
  <cp:revision>3</cp:revision>
  <dcterms:created xsi:type="dcterms:W3CDTF">2026-10-07T15:44:00Z</dcterms:created>
  <dcterms:modified xsi:type="dcterms:W3CDTF">2026-10-08T14:20:00Z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1.0.155</vt:lpwstr>
  </property>
  <property fmtid="{D5CDD505-2E9C-101B-9397-08002B2CF9AE}" pid="3" name="OfficeCLI.LastModified">
    <vt:lpwstr>2026-10-07T15:48:25Z</vt:lpwstr>
  </property>
</Properties>
</file>