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F4E0" w14:textId="409A816D" w:rsidR="003F102C" w:rsidRDefault="00635E6D">
      <w:pPr>
        <w:rPr>
          <w:b/>
          <w:bCs/>
        </w:rPr>
      </w:pPr>
      <w:r>
        <w:rPr>
          <w:b/>
          <w:bCs/>
        </w:rPr>
        <w:t xml:space="preserve">Metadata: </w:t>
      </w:r>
      <w:r w:rsidR="002144C1">
        <w:rPr>
          <w:b/>
          <w:bCs/>
        </w:rPr>
        <w:t>Time Series</w:t>
      </w:r>
      <w:r w:rsidR="00B33C28">
        <w:rPr>
          <w:b/>
          <w:bCs/>
        </w:rPr>
        <w:t xml:space="preserve"> and Gridded Time Series</w:t>
      </w:r>
      <w:r w:rsidR="002144C1">
        <w:rPr>
          <w:b/>
          <w:bCs/>
        </w:rPr>
        <w:t xml:space="preserve"> of the </w:t>
      </w:r>
      <w:r>
        <w:rPr>
          <w:b/>
          <w:bCs/>
        </w:rPr>
        <w:t xml:space="preserve">Surface Mass Balance of the </w:t>
      </w:r>
      <w:r w:rsidR="00267CB9">
        <w:rPr>
          <w:b/>
          <w:bCs/>
        </w:rPr>
        <w:t>Antarctic</w:t>
      </w:r>
      <w:r w:rsidR="002144C1">
        <w:rPr>
          <w:b/>
          <w:bCs/>
        </w:rPr>
        <w:t xml:space="preserve"> and Greenland</w:t>
      </w:r>
      <w:r w:rsidR="00267CB9">
        <w:rPr>
          <w:b/>
          <w:bCs/>
        </w:rPr>
        <w:t xml:space="preserve"> Ice Sheet</w:t>
      </w:r>
      <w:r w:rsidR="002144C1">
        <w:rPr>
          <w:b/>
          <w:bCs/>
        </w:rPr>
        <w:t>s</w:t>
      </w:r>
      <w:r w:rsidR="00267CB9">
        <w:rPr>
          <w:b/>
          <w:bCs/>
        </w:rPr>
        <w:t xml:space="preserve"> from MERRA-2/M2R12K and the Community Firn Model</w:t>
      </w:r>
    </w:p>
    <w:p w14:paraId="5EE1061E" w14:textId="2AE71268" w:rsidR="00615824" w:rsidRDefault="00267CB9">
      <w:pPr>
        <w:rPr>
          <w:b/>
          <w:bCs/>
        </w:rPr>
      </w:pPr>
      <w:r>
        <w:rPr>
          <w:b/>
          <w:bCs/>
        </w:rPr>
        <w:t>Brooke Medley</w:t>
      </w:r>
      <w:r w:rsidR="00247D31">
        <w:rPr>
          <w:b/>
          <w:bCs/>
        </w:rPr>
        <w:t>, NASA Goddard Space Flight Center</w:t>
      </w:r>
    </w:p>
    <w:p w14:paraId="210F9DEC" w14:textId="37CAD39D" w:rsidR="00A25A56" w:rsidRDefault="00A25A56">
      <w:r>
        <w:t xml:space="preserve">The time series are derived from the </w:t>
      </w:r>
      <w:r w:rsidR="008B0962">
        <w:t xml:space="preserve">GSFC v1.2.1 </w:t>
      </w:r>
      <w:r>
        <w:t xml:space="preserve">SMB measurements as described in Medley et al. (in Review) that are posted at 5-day resolution on a 12.5 km grid for both the Greenland and Antarctic Ice Sheets. The time period covered is from January 1, 1980 to September 30, 2021.  </w:t>
      </w:r>
      <w:r w:rsidR="00DD3065">
        <w:t>NASA’s MERRA-2 provides the basis for our SMB model, including snowfall, rainfall, and temperature, with additional spatial resolution provided by an offline 12.5 km replay.  While MERRA-2 does account for meltwater production, it was not retained as an output variable.  Thus, we employ a simple degree-day model train</w:t>
      </w:r>
      <w:r w:rsidR="00273D4F">
        <w:t>ed</w:t>
      </w:r>
      <w:r w:rsidR="00DD3065">
        <w:t xml:space="preserve"> against observations for the Antarctic and MARv3.5.2 meltwater for </w:t>
      </w:r>
      <w:r w:rsidR="00273D4F">
        <w:t>the Greenland Ice Sheet</w:t>
      </w:r>
      <w:r w:rsidR="00DD3065">
        <w:t>.  Runoff was generated by forcing the Community Firn Model with the aforementioned fo</w:t>
      </w:r>
      <w:r w:rsidR="00165EC8">
        <w:t>r</w:t>
      </w:r>
      <w:r w:rsidR="00DD3065">
        <w:t>cings</w:t>
      </w:r>
      <w:r w:rsidR="00165EC8">
        <w:t xml:space="preserve">.  </w:t>
      </w:r>
      <w:r w:rsidR="00DE1F44">
        <w:t>The SMB is calculated using:</w:t>
      </w:r>
    </w:p>
    <w:p w14:paraId="7B24FD62" w14:textId="6100B9E1" w:rsidR="00DE1F44" w:rsidRPr="00DA33C2" w:rsidRDefault="00DE1F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SMB=Sn+Ra-Ev-Ru,</m:t>
          </m:r>
        </m:oMath>
      </m:oMathPara>
    </w:p>
    <w:p w14:paraId="7ED99F65" w14:textId="553CDD15" w:rsidR="00F86D37" w:rsidRDefault="00F86D37">
      <w:r w:rsidRPr="00BF1918">
        <w:t xml:space="preserve">where </w:t>
      </w:r>
      <w:r w:rsidRPr="00660AB1">
        <w:rPr>
          <w:i/>
          <w:iCs/>
        </w:rPr>
        <w:t>Sn</w:t>
      </w:r>
      <w:r w:rsidRPr="00BF1918">
        <w:t xml:space="preserve"> is snowfall, </w:t>
      </w:r>
      <w:r w:rsidRPr="00660AB1">
        <w:rPr>
          <w:i/>
          <w:iCs/>
        </w:rPr>
        <w:t>Ra</w:t>
      </w:r>
      <w:r w:rsidRPr="00BF1918">
        <w:t xml:space="preserve"> is rainfall, </w:t>
      </w:r>
      <w:r w:rsidRPr="00660AB1">
        <w:rPr>
          <w:i/>
          <w:iCs/>
        </w:rPr>
        <w:t>Ev</w:t>
      </w:r>
      <w:r w:rsidRPr="00BF1918">
        <w:t xml:space="preserve"> is evaporation/sublimation, and </w:t>
      </w:r>
      <w:r w:rsidRPr="00660AB1">
        <w:rPr>
          <w:i/>
          <w:iCs/>
        </w:rPr>
        <w:t>Ru</w:t>
      </w:r>
      <w:r w:rsidRPr="00BF1918">
        <w:t xml:space="preserve"> is runoff</w:t>
      </w:r>
      <w:r>
        <w:t>.  Snow redistribution processes are not considered.</w:t>
      </w:r>
    </w:p>
    <w:p w14:paraId="46DF6971" w14:textId="77777777" w:rsidR="00134786" w:rsidRDefault="00A25A56">
      <w:r>
        <w:t>Comparison within Medley et al. (</w:t>
      </w:r>
      <w:r w:rsidR="00DD3065">
        <w:t>i</w:t>
      </w:r>
      <w:r>
        <w:t>n Review) of the model derived SMB and observations suggests a 1-s</w:t>
      </w:r>
      <w:r w:rsidR="00D16D22">
        <w:t>i</w:t>
      </w:r>
      <w:r>
        <w:t xml:space="preserve">gma uncertainty of </w:t>
      </w:r>
      <w:r w:rsidR="00DD3065">
        <w:t xml:space="preserve">14% and 23% over the Greenland and Antarctic Ice Sheets, respectively, which form the basis of our uncertainty analysis.  </w:t>
      </w:r>
      <w:r w:rsidR="00D069FD">
        <w:t>We used the basin data provided by IMBIE3 to assess the ice-covered area of each 12.5 km pixel by oversampling the grid to 500 m for Greenland and 1</w:t>
      </w:r>
      <w:r w:rsidR="004535C8">
        <w:t>25</w:t>
      </w:r>
      <w:r w:rsidR="00D069FD">
        <w:t>0 m for Antarctica.  Then we summed the number of 500 m or 1</w:t>
      </w:r>
      <w:r w:rsidR="00190232">
        <w:t>25</w:t>
      </w:r>
      <w:r w:rsidR="00D069FD">
        <w:t xml:space="preserve">0 m cells that fell within the 12.5 km cell to determine ice area.  </w:t>
      </w:r>
    </w:p>
    <w:p w14:paraId="4DF8317E" w14:textId="2F4D8228" w:rsidR="00134786" w:rsidRPr="00134786" w:rsidRDefault="00134786">
      <w:pPr>
        <w:rPr>
          <w:b/>
          <w:bCs/>
        </w:rPr>
      </w:pPr>
      <w:r>
        <w:rPr>
          <w:b/>
          <w:bCs/>
        </w:rPr>
        <w:t>Time Series</w:t>
      </w:r>
    </w:p>
    <w:p w14:paraId="57942A85" w14:textId="3877829E" w:rsidR="00A25A56" w:rsidRDefault="003808B2">
      <w:r>
        <w:t>To determine the SMB over each region, we multipl</w:t>
      </w:r>
      <w:r w:rsidR="00B845D7">
        <w:t>y</w:t>
      </w:r>
      <w:r>
        <w:t xml:space="preserve"> the SMB of each grid cell (m</w:t>
      </w:r>
      <w:r w:rsidR="00B845D7">
        <w:t xml:space="preserve"> w.e.) by the area of grounded ice (m</w:t>
      </w:r>
      <w:r w:rsidR="00B845D7" w:rsidRPr="00B845D7">
        <w:rPr>
          <w:vertAlign w:val="superscript"/>
        </w:rPr>
        <w:t>2</w:t>
      </w:r>
      <w:r w:rsidR="00B845D7">
        <w:t>)</w:t>
      </w:r>
      <w:r w:rsidR="001C3D23">
        <w:t xml:space="preserve"> and accumulate over the entire region of interest.  Then we divide by 1000</w:t>
      </w:r>
      <w:r w:rsidR="001C3D23" w:rsidRPr="001C3D23">
        <w:rPr>
          <w:vertAlign w:val="superscript"/>
        </w:rPr>
        <w:t>3</w:t>
      </w:r>
      <w:r w:rsidR="001C3D23">
        <w:t xml:space="preserve"> to convert to Gt.  </w:t>
      </w:r>
      <w:r w:rsidR="00C100D5">
        <w:t xml:space="preserve">We use the covariance of the time series over each </w:t>
      </w:r>
      <w:r w:rsidR="00E85DD1">
        <w:t>region</w:t>
      </w:r>
      <w:r w:rsidR="00C100D5">
        <w:t xml:space="preserve"> to accumulate correlated errors for each time step.  The units are in Gt for each time step.  To convert to Gt yr</w:t>
      </w:r>
      <w:r w:rsidR="00C100D5" w:rsidRPr="00C100D5">
        <w:rPr>
          <w:vertAlign w:val="superscript"/>
        </w:rPr>
        <w:t>-1</w:t>
      </w:r>
      <w:r w:rsidR="00C100D5">
        <w:t>, simply multiply by 365/5 (# of days in year / # of days per time step).</w:t>
      </w:r>
    </w:p>
    <w:p w14:paraId="17DE57ED" w14:textId="367A1CF2" w:rsidR="00134786" w:rsidRDefault="00134786">
      <w:pPr>
        <w:rPr>
          <w:b/>
          <w:bCs/>
        </w:rPr>
      </w:pPr>
      <w:r w:rsidRPr="00134786">
        <w:rPr>
          <w:b/>
          <w:bCs/>
        </w:rPr>
        <w:t>Gridded Time Series</w:t>
      </w:r>
    </w:p>
    <w:p w14:paraId="05B54AE2" w14:textId="6A27714F" w:rsidR="00D6568A" w:rsidRDefault="00D6568A">
      <w:r w:rsidRPr="00D6568A">
        <w:t xml:space="preserve">The </w:t>
      </w:r>
      <w:r>
        <w:t xml:space="preserve">spatiotemporal SMB </w:t>
      </w:r>
      <w:r w:rsidR="00C82B58">
        <w:t xml:space="preserve">provided are in units of meters of water equivalence for each time step.  The 1-sigma uncertainty is </w:t>
      </w:r>
    </w:p>
    <w:p w14:paraId="65E5AE8D" w14:textId="0E023FBA" w:rsidR="00676673" w:rsidRPr="005F13BE" w:rsidRDefault="00676673" w:rsidP="0067667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SMB Uncertainty</m:t>
              </m:r>
              <m:r>
                <w:rPr>
                  <w:rFonts w:ascii="Cambria Math" w:hAnsi="Cambria Math"/>
                </w:rPr>
                <m:t>=0.14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SMB</m:t>
                  </m:r>
                </m:e>
              </m:d>
              <m:r>
                <w:rPr>
                  <w:rFonts w:ascii="Cambria Math" w:hAnsi="Cambria Math"/>
                </w:rPr>
                <m:t>,  GrIS#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37663808" w14:textId="42B427D6" w:rsidR="00676673" w:rsidRPr="00E0395E" w:rsidRDefault="00676673" w:rsidP="0067667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SMB Uncertainty</m:t>
              </m:r>
              <m:r>
                <w:rPr>
                  <w:rFonts w:ascii="Cambria Math" w:hAnsi="Cambria Math"/>
                </w:rPr>
                <m:t>=0.23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SMB</m:t>
                  </m:r>
                </m:e>
              </m:d>
              <m:r>
                <w:rPr>
                  <w:rFonts w:ascii="Cambria Math" w:hAnsi="Cambria Math"/>
                </w:rPr>
                <m:t>,  AIS#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0632CCC1" w14:textId="201B51C1" w:rsidR="00676673" w:rsidRPr="00D6568A" w:rsidRDefault="00676673">
      <w:r>
        <w:t xml:space="preserve">which is based on comparisons with observations in the Medley et al. (in Review).  </w:t>
      </w:r>
      <w:r w:rsidR="004B7A78">
        <w:t>We also provide the grounded ice area per pixel for both the Rignot and Zwally basins as well as the basin IDs.</w:t>
      </w:r>
    </w:p>
    <w:p w14:paraId="2D4F508A" w14:textId="399876EE" w:rsidR="00A25A56" w:rsidRPr="00AA3230" w:rsidRDefault="00AA3230">
      <w:r>
        <w:t xml:space="preserve">The data submitted have been submitted to </w:t>
      </w:r>
      <w:r>
        <w:rPr>
          <w:i/>
          <w:iCs/>
        </w:rPr>
        <w:t>The Cryosphere Discussions</w:t>
      </w:r>
      <w:r w:rsidR="00B43D3C">
        <w:t xml:space="preserve"> where it has gone through one round of review.  The</w:t>
      </w:r>
      <w:r w:rsidR="003753A3">
        <w:t xml:space="preserve"> responses to reviewers and a</w:t>
      </w:r>
      <w:r w:rsidR="00B43D3C">
        <w:t xml:space="preserve"> revised paper </w:t>
      </w:r>
      <w:r w:rsidR="003753A3">
        <w:t>were</w:t>
      </w:r>
      <w:r w:rsidR="00B43D3C">
        <w:t xml:space="preserve"> submitted </w:t>
      </w:r>
      <w:r w:rsidR="00BB7575">
        <w:t xml:space="preserve">on April 6, 2022, and </w:t>
      </w:r>
      <w:r w:rsidR="00BB7575">
        <w:lastRenderedPageBreak/>
        <w:t xml:space="preserve">we are awaiting </w:t>
      </w:r>
      <w:r w:rsidR="003753A3">
        <w:t>further guidance from the Cryosphere.</w:t>
      </w:r>
      <w:r w:rsidR="008707BA">
        <w:t xml:space="preserve">  I have included the revised submission with this submission as there are numerous improvements</w:t>
      </w:r>
      <w:r w:rsidR="000D6C5E">
        <w:t xml:space="preserve"> that are relevant to this group.</w:t>
      </w:r>
    </w:p>
    <w:p w14:paraId="55D0DA7C" w14:textId="58876E60" w:rsidR="00E00679" w:rsidRDefault="00E00679"/>
    <w:p w14:paraId="40B1C949" w14:textId="69A5075B" w:rsidR="00A25A56" w:rsidRPr="00A25A56" w:rsidRDefault="00A25A5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Medley, B., Neumann, T. A., Zwally, H. J., &amp; Smith, B. E. (2020). Forty-year simulations of firn processes over the Greenland and Antarctic ice sheets.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Cryosphere Discussions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1-35.</w:t>
      </w:r>
    </w:p>
    <w:sectPr w:rsidR="00A25A56" w:rsidRPr="00A2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6"/>
    <w:rsid w:val="000D6C5E"/>
    <w:rsid w:val="00134786"/>
    <w:rsid w:val="00165EC8"/>
    <w:rsid w:val="00190232"/>
    <w:rsid w:val="001C3D23"/>
    <w:rsid w:val="002144C1"/>
    <w:rsid w:val="00247D31"/>
    <w:rsid w:val="00267CB9"/>
    <w:rsid w:val="00273D4F"/>
    <w:rsid w:val="003753A3"/>
    <w:rsid w:val="003808B2"/>
    <w:rsid w:val="003F102C"/>
    <w:rsid w:val="004535C8"/>
    <w:rsid w:val="004B7A78"/>
    <w:rsid w:val="00524AB1"/>
    <w:rsid w:val="00615824"/>
    <w:rsid w:val="00635E6D"/>
    <w:rsid w:val="00676673"/>
    <w:rsid w:val="0077598B"/>
    <w:rsid w:val="008707BA"/>
    <w:rsid w:val="008B0962"/>
    <w:rsid w:val="00A25A56"/>
    <w:rsid w:val="00AA3230"/>
    <w:rsid w:val="00B33C28"/>
    <w:rsid w:val="00B43D3C"/>
    <w:rsid w:val="00B845D7"/>
    <w:rsid w:val="00BB7575"/>
    <w:rsid w:val="00C100D5"/>
    <w:rsid w:val="00C82B58"/>
    <w:rsid w:val="00D069FD"/>
    <w:rsid w:val="00D16D22"/>
    <w:rsid w:val="00D6568A"/>
    <w:rsid w:val="00DA33C2"/>
    <w:rsid w:val="00DA63E9"/>
    <w:rsid w:val="00DD3065"/>
    <w:rsid w:val="00DE1F44"/>
    <w:rsid w:val="00E00679"/>
    <w:rsid w:val="00E85DD1"/>
    <w:rsid w:val="00F749A6"/>
    <w:rsid w:val="00F86D37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E74"/>
  <w15:chartTrackingRefBased/>
  <w15:docId w15:val="{566B20E0-9E18-4C19-B892-70511C8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1E2BB92CBC144967077C2021A537D" ma:contentTypeVersion="12" ma:contentTypeDescription="Create a new document." ma:contentTypeScope="" ma:versionID="2a6548a6167cbab55b854d2436d942ca">
  <xsd:schema xmlns:xsd="http://www.w3.org/2001/XMLSchema" xmlns:xs="http://www.w3.org/2001/XMLSchema" xmlns:p="http://schemas.microsoft.com/office/2006/metadata/properties" xmlns:ns3="c852713b-0caa-4ac0-ba75-048f00e27b76" xmlns:ns4="a3f7648c-ef34-4383-9913-3e4132c38d7f" targetNamespace="http://schemas.microsoft.com/office/2006/metadata/properties" ma:root="true" ma:fieldsID="1c1423bd47b8221fb784fd4664c67139" ns3:_="" ns4:_="">
    <xsd:import namespace="c852713b-0caa-4ac0-ba75-048f00e27b76"/>
    <xsd:import namespace="a3f7648c-ef34-4383-9913-3e4132c38d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2713b-0caa-4ac0-ba75-048f00e27b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7648c-ef34-4383-9913-3e4132c38d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14BAB8-36C1-42DB-BA47-B53BBF66C2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1199F6-5A1B-47ED-A1B0-EA959F3216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496D0-6264-4D73-A1D6-EC0462A73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2713b-0caa-4ac0-ba75-048f00e27b76"/>
    <ds:schemaRef ds:uri="a3f7648c-ef34-4383-9913-3e4132c38d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005d458-45be-48ae-8140-d43da96dd17b}" enabled="0" method="" siteId="{7005d458-45be-48ae-8140-d43da96dd1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Medley, Brooke (GSFC-6150)</dc:creator>
  <cp:keywords/>
  <dc:description/>
  <cp:lastModifiedBy>Medley, Brooke (GSFC-6150)</cp:lastModifiedBy>
  <cp:revision>12</cp:revision>
  <dcterms:created xsi:type="dcterms:W3CDTF">2022-05-18T19:51:00Z</dcterms:created>
  <dcterms:modified xsi:type="dcterms:W3CDTF">2022-05-18T19:59:00Z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0x0101002BD1E2BB92CBC144967077C2021A537D</vt:lpwstr>
  </property>
</Properties>
</file>