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689" w:rsidRPr="00BA2ED1" w:rsidRDefault="00EB4F79" w:rsidP="003E46AC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Implementierung firmenspezifischer </w:t>
      </w:r>
      <w:proofErr w:type="spellStart"/>
      <w:r w:rsidR="005D32A8">
        <w:rPr>
          <w:rFonts w:eastAsia="Times New Roman"/>
          <w:lang w:eastAsia="de-DE"/>
        </w:rPr>
        <w:t>Plug</w:t>
      </w:r>
      <w:r>
        <w:rPr>
          <w:rFonts w:eastAsia="Times New Roman"/>
          <w:lang w:eastAsia="de-DE"/>
        </w:rPr>
        <w:t>Ins</w:t>
      </w:r>
      <w:proofErr w:type="spellEnd"/>
      <w:r>
        <w:rPr>
          <w:rFonts w:eastAsia="Times New Roman"/>
          <w:lang w:eastAsia="de-DE"/>
        </w:rPr>
        <w:t xml:space="preserve"> innerhalb </w:t>
      </w:r>
      <w:r w:rsidR="005D32A8">
        <w:rPr>
          <w:rFonts w:eastAsia="Times New Roman"/>
          <w:lang w:eastAsia="de-DE"/>
        </w:rPr>
        <w:t xml:space="preserve">von </w:t>
      </w:r>
      <w:r>
        <w:rPr>
          <w:rFonts w:eastAsia="Times New Roman"/>
          <w:lang w:eastAsia="de-DE"/>
        </w:rPr>
        <w:t>LEEGOO.NET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5811"/>
      </w:tblGrid>
      <w:tr w:rsidR="00EB4F79" w:rsidTr="00E83A6F">
        <w:tc>
          <w:tcPr>
            <w:tcW w:w="110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  <w:r w:rsidRPr="00EF291E">
              <w:rPr>
                <w:sz w:val="16"/>
                <w:szCs w:val="16"/>
              </w:rPr>
              <w:t>Erstellung</w:t>
            </w:r>
          </w:p>
        </w:tc>
        <w:tc>
          <w:tcPr>
            <w:tcW w:w="2268" w:type="dxa"/>
          </w:tcPr>
          <w:p w:rsidR="00EB4F79" w:rsidRPr="00EF291E" w:rsidRDefault="00EB4F79" w:rsidP="00EB4F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2015-04-15</w:t>
            </w:r>
            <w:r w:rsidRPr="00EF291E">
              <w:rPr>
                <w:sz w:val="16"/>
                <w:szCs w:val="16"/>
              </w:rPr>
              <w:t>, Thilo Vitt / EAS</w:t>
            </w:r>
          </w:p>
        </w:tc>
        <w:tc>
          <w:tcPr>
            <w:tcW w:w="581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</w:p>
        </w:tc>
      </w:tr>
      <w:tr w:rsidR="00EB4F79" w:rsidTr="00E83A6F">
        <w:tc>
          <w:tcPr>
            <w:tcW w:w="110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  <w:r w:rsidRPr="00EF291E">
              <w:rPr>
                <w:sz w:val="16"/>
                <w:szCs w:val="16"/>
              </w:rPr>
              <w:t>Änderung</w:t>
            </w:r>
          </w:p>
        </w:tc>
        <w:tc>
          <w:tcPr>
            <w:tcW w:w="2268" w:type="dxa"/>
          </w:tcPr>
          <w:p w:rsidR="00EB4F79" w:rsidRPr="00EF291E" w:rsidRDefault="00376EF8" w:rsidP="00202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2015-04-23, Thilo Vitt / EAS</w:t>
            </w:r>
          </w:p>
        </w:tc>
        <w:tc>
          <w:tcPr>
            <w:tcW w:w="5811" w:type="dxa"/>
          </w:tcPr>
          <w:p w:rsidR="00EB4F79" w:rsidRPr="00EF291E" w:rsidRDefault="00376EF8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Entfernen der TFS-Einträge (s.u.)</w:t>
            </w:r>
          </w:p>
        </w:tc>
      </w:tr>
      <w:tr w:rsidR="008D6B6E" w:rsidTr="00E83A6F">
        <w:tc>
          <w:tcPr>
            <w:tcW w:w="1101" w:type="dxa"/>
          </w:tcPr>
          <w:p w:rsidR="008D6B6E" w:rsidRPr="00EF291E" w:rsidRDefault="008D6B6E" w:rsidP="00E83A6F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D6B6E" w:rsidRDefault="008D6B6E" w:rsidP="00202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2015-06-18, Thilo Vitt / EAS</w:t>
            </w:r>
          </w:p>
        </w:tc>
        <w:tc>
          <w:tcPr>
            <w:tcW w:w="5811" w:type="dxa"/>
          </w:tcPr>
          <w:p w:rsidR="008D6B6E" w:rsidRDefault="008D6B6E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Ausgabepfad in den Unterordner </w:t>
            </w:r>
            <w:proofErr w:type="spellStart"/>
            <w:r>
              <w:rPr>
                <w:sz w:val="16"/>
                <w:szCs w:val="16"/>
              </w:rPr>
              <w:t>PlugIns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DemoPlugIn</w:t>
            </w:r>
            <w:proofErr w:type="spellEnd"/>
            <w:r>
              <w:rPr>
                <w:sz w:val="16"/>
                <w:szCs w:val="16"/>
              </w:rPr>
              <w:t xml:space="preserve"> verschoben</w:t>
            </w:r>
          </w:p>
          <w:p w:rsidR="00E1213A" w:rsidRDefault="00E1213A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div. </w:t>
            </w:r>
            <w:proofErr w:type="spellStart"/>
            <w:r>
              <w:rPr>
                <w:sz w:val="16"/>
                <w:szCs w:val="16"/>
              </w:rPr>
              <w:t>EventHandler</w:t>
            </w:r>
            <w:proofErr w:type="spellEnd"/>
            <w:r>
              <w:rPr>
                <w:sz w:val="16"/>
                <w:szCs w:val="16"/>
              </w:rPr>
              <w:t xml:space="preserve"> eingebaut, die dem </w:t>
            </w:r>
            <w:proofErr w:type="spellStart"/>
            <w:r>
              <w:rPr>
                <w:sz w:val="16"/>
                <w:szCs w:val="16"/>
              </w:rPr>
              <w:t>PlugIn</w:t>
            </w:r>
            <w:proofErr w:type="spellEnd"/>
            <w:r>
              <w:rPr>
                <w:sz w:val="16"/>
                <w:szCs w:val="16"/>
              </w:rPr>
              <w:t xml:space="preserve"> ermöglichen auf div. Aktionen in LEEGOO BUILDER.NET zu reagieren</w:t>
            </w:r>
          </w:p>
        </w:tc>
      </w:tr>
      <w:tr w:rsidR="008846E0" w:rsidTr="00E83A6F">
        <w:tc>
          <w:tcPr>
            <w:tcW w:w="1101" w:type="dxa"/>
          </w:tcPr>
          <w:p w:rsidR="008846E0" w:rsidRPr="00EF291E" w:rsidRDefault="008846E0" w:rsidP="00E83A6F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46E0" w:rsidRDefault="008846E0" w:rsidP="00202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2019-04-24, Thilo Vitt / EAS</w:t>
            </w:r>
          </w:p>
        </w:tc>
        <w:tc>
          <w:tcPr>
            <w:tcW w:w="5811" w:type="dxa"/>
          </w:tcPr>
          <w:p w:rsidR="008846E0" w:rsidRDefault="008846E0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Kleinere Anpassungen und Korrekturen</w:t>
            </w:r>
          </w:p>
        </w:tc>
      </w:tr>
    </w:tbl>
    <w:p w:rsidR="00BA2ED1" w:rsidRPr="00545037" w:rsidRDefault="00BA2ED1" w:rsidP="00BA2ED1">
      <w:pPr>
        <w:rPr>
          <w:sz w:val="16"/>
          <w:szCs w:val="16"/>
        </w:rPr>
      </w:pPr>
    </w:p>
    <w:p w:rsidR="00BA2ED1" w:rsidRDefault="00BA2ED1" w:rsidP="00BA2ED1"/>
    <w:p w:rsidR="00BA2ED1" w:rsidRPr="005D32A8" w:rsidRDefault="00EB4F79" w:rsidP="003E46AC">
      <w:pPr>
        <w:pStyle w:val="berschrift2"/>
        <w:rPr>
          <w:rStyle w:val="IntensiveHervorhebung"/>
          <w:b/>
        </w:rPr>
      </w:pPr>
      <w:r w:rsidRPr="005D32A8">
        <w:rPr>
          <w:rStyle w:val="IntensiveHervorhebung"/>
          <w:b/>
        </w:rPr>
        <w:t>Beispiel-</w:t>
      </w:r>
      <w:proofErr w:type="spellStart"/>
      <w:r w:rsidR="005D32A8">
        <w:rPr>
          <w:rStyle w:val="IntensiveHervorhebung"/>
          <w:b/>
        </w:rPr>
        <w:t>Plug</w:t>
      </w:r>
      <w:r w:rsidRPr="005D32A8">
        <w:rPr>
          <w:rStyle w:val="IntensiveHervorhebung"/>
          <w:b/>
        </w:rPr>
        <w:t>In</w:t>
      </w:r>
      <w:proofErr w:type="spellEnd"/>
      <w:r w:rsidRPr="005D32A8">
        <w:rPr>
          <w:rStyle w:val="IntensiveHervorhebung"/>
          <w:b/>
        </w:rPr>
        <w:t xml:space="preserve"> kopieren</w:t>
      </w:r>
    </w:p>
    <w:p w:rsidR="00202C64" w:rsidRDefault="00EB4F79" w:rsidP="00082D5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Es gibt eine Implementierung eines Demo-</w:t>
      </w:r>
      <w:proofErr w:type="spellStart"/>
      <w:r w:rsidR="005D32A8">
        <w:rPr>
          <w:rFonts w:eastAsia="Times New Roman" w:cstheme="minorHAnsi"/>
          <w:lang w:eastAsia="de-DE"/>
        </w:rPr>
        <w:t>Plug</w:t>
      </w:r>
      <w:r>
        <w:rPr>
          <w:rFonts w:eastAsia="Times New Roman" w:cstheme="minorHAnsi"/>
          <w:lang w:eastAsia="de-DE"/>
        </w:rPr>
        <w:t>Ins</w:t>
      </w:r>
      <w:proofErr w:type="spellEnd"/>
      <w:r>
        <w:rPr>
          <w:rFonts w:eastAsia="Times New Roman" w:cstheme="minorHAnsi"/>
          <w:lang w:eastAsia="de-DE"/>
        </w:rPr>
        <w:t>.</w:t>
      </w:r>
      <w:r>
        <w:rPr>
          <w:rFonts w:eastAsia="Times New Roman" w:cstheme="minorHAnsi"/>
          <w:lang w:eastAsia="de-DE"/>
        </w:rPr>
        <w:br/>
        <w:t xml:space="preserve">Darin sind </w:t>
      </w:r>
      <w:r w:rsidR="005D32A8">
        <w:rPr>
          <w:rFonts w:eastAsia="Times New Roman" w:cstheme="minorHAnsi"/>
          <w:lang w:eastAsia="de-DE"/>
        </w:rPr>
        <w:t xml:space="preserve">bereits </w:t>
      </w:r>
      <w:r w:rsidR="00A12007">
        <w:rPr>
          <w:rFonts w:eastAsia="Times New Roman" w:cstheme="minorHAnsi"/>
          <w:lang w:eastAsia="de-DE"/>
        </w:rPr>
        <w:t>viele</w:t>
      </w:r>
      <w:r>
        <w:rPr>
          <w:rFonts w:eastAsia="Times New Roman" w:cstheme="minorHAnsi"/>
          <w:lang w:eastAsia="de-DE"/>
        </w:rPr>
        <w:t xml:space="preserve"> benötigten Funktionalitäten enthalten.</w:t>
      </w:r>
      <w:r>
        <w:rPr>
          <w:rFonts w:eastAsia="Times New Roman" w:cstheme="minorHAnsi"/>
          <w:lang w:eastAsia="de-DE"/>
        </w:rPr>
        <w:br/>
        <w:t xml:space="preserve">Dieses Beispiel kann als Template für eigene </w:t>
      </w:r>
      <w:proofErr w:type="spellStart"/>
      <w:r w:rsidR="005D32A8">
        <w:rPr>
          <w:rFonts w:eastAsia="Times New Roman" w:cstheme="minorHAnsi"/>
          <w:lang w:eastAsia="de-DE"/>
        </w:rPr>
        <w:t>Plug</w:t>
      </w:r>
      <w:r>
        <w:rPr>
          <w:rFonts w:eastAsia="Times New Roman" w:cstheme="minorHAnsi"/>
          <w:lang w:eastAsia="de-DE"/>
        </w:rPr>
        <w:t>Ins</w:t>
      </w:r>
      <w:proofErr w:type="spellEnd"/>
      <w:r>
        <w:rPr>
          <w:rFonts w:eastAsia="Times New Roman" w:cstheme="minorHAnsi"/>
          <w:lang w:eastAsia="de-DE"/>
        </w:rPr>
        <w:t xml:space="preserve"> dienen. </w:t>
      </w:r>
      <w:r>
        <w:rPr>
          <w:rFonts w:eastAsia="Times New Roman" w:cstheme="minorHAnsi"/>
          <w:lang w:eastAsia="de-DE"/>
        </w:rPr>
        <w:br/>
        <w:t xml:space="preserve">Bitte kopieren Sie das entsprechende Verzeichnis auf Ihren Rechner. </w:t>
      </w:r>
      <w:r>
        <w:rPr>
          <w:rFonts w:eastAsia="Times New Roman" w:cstheme="minorHAnsi"/>
          <w:lang w:eastAsia="de-DE"/>
        </w:rPr>
        <w:br/>
      </w:r>
    </w:p>
    <w:p w:rsidR="00D63CA3" w:rsidRDefault="00D63CA3" w:rsidP="00082D5D">
      <w:pPr>
        <w:rPr>
          <w:rFonts w:eastAsia="Times New Roman" w:cstheme="minorHAnsi"/>
          <w:lang w:eastAsia="de-DE"/>
        </w:rPr>
      </w:pPr>
    </w:p>
    <w:p w:rsidR="00356C7C" w:rsidRPr="005D32A8" w:rsidRDefault="00356C7C" w:rsidP="00082D5D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Verweise anpassen</w:t>
      </w:r>
    </w:p>
    <w:p w:rsidR="00356C7C" w:rsidRDefault="00356C7C" w:rsidP="00082D5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Folgende Verweise auf LEEGOO BUILDER.NET-</w:t>
      </w:r>
      <w:proofErr w:type="spellStart"/>
      <w:r>
        <w:rPr>
          <w:rFonts w:eastAsia="Times New Roman" w:cstheme="minorHAnsi"/>
          <w:lang w:eastAsia="de-DE"/>
        </w:rPr>
        <w:t>Assemblies</w:t>
      </w:r>
      <w:proofErr w:type="spellEnd"/>
      <w:r>
        <w:rPr>
          <w:rFonts w:eastAsia="Times New Roman" w:cstheme="minorHAnsi"/>
          <w:lang w:eastAsia="de-DE"/>
        </w:rPr>
        <w:t xml:space="preserve"> müssen </w:t>
      </w:r>
      <w:r w:rsidR="005D32A8">
        <w:rPr>
          <w:rFonts w:eastAsia="Times New Roman" w:cstheme="minorHAnsi"/>
          <w:lang w:eastAsia="de-DE"/>
        </w:rPr>
        <w:t xml:space="preserve">ggf. </w:t>
      </w:r>
      <w:r>
        <w:rPr>
          <w:rFonts w:eastAsia="Times New Roman" w:cstheme="minorHAnsi"/>
          <w:lang w:eastAsia="de-DE"/>
        </w:rPr>
        <w:t>manuell angepasst werden:</w:t>
      </w:r>
      <w:r>
        <w:rPr>
          <w:rFonts w:eastAsia="Times New Roman" w:cstheme="minorHAnsi"/>
          <w:lang w:eastAsia="de-DE"/>
        </w:rPr>
        <w:br/>
        <w:t>&lt;</w:t>
      </w:r>
      <w:proofErr w:type="spellStart"/>
      <w:r>
        <w:rPr>
          <w:rFonts w:eastAsia="Times New Roman" w:cstheme="minorHAnsi"/>
          <w:lang w:eastAsia="de-DE"/>
        </w:rPr>
        <w:t>Binaries</w:t>
      </w:r>
      <w:proofErr w:type="spellEnd"/>
      <w:r>
        <w:rPr>
          <w:rFonts w:eastAsia="Times New Roman" w:cstheme="minorHAnsi"/>
          <w:lang w:eastAsia="de-DE"/>
        </w:rPr>
        <w:t>&gt; steht für das Verzeichnis mit den LEEGOO BUILDER.NET-Dateien.</w:t>
      </w:r>
      <w:r>
        <w:rPr>
          <w:rFonts w:eastAsia="Times New Roman" w:cstheme="minorHAnsi"/>
          <w:lang w:eastAsia="de-DE"/>
        </w:rPr>
        <w:br/>
        <w:t>Microsoft Prism muss nicht installiert sein. Es genügt auf die im &lt;</w:t>
      </w:r>
      <w:proofErr w:type="spellStart"/>
      <w:r>
        <w:rPr>
          <w:rFonts w:eastAsia="Times New Roman" w:cstheme="minorHAnsi"/>
          <w:lang w:eastAsia="de-DE"/>
        </w:rPr>
        <w:t>Bina</w:t>
      </w:r>
      <w:r w:rsidR="00CC6A85">
        <w:rPr>
          <w:rFonts w:eastAsia="Times New Roman" w:cstheme="minorHAnsi"/>
          <w:lang w:eastAsia="de-DE"/>
        </w:rPr>
        <w:t>r</w:t>
      </w:r>
      <w:r>
        <w:rPr>
          <w:rFonts w:eastAsia="Times New Roman" w:cstheme="minorHAnsi"/>
          <w:lang w:eastAsia="de-DE"/>
        </w:rPr>
        <w:t>ies</w:t>
      </w:r>
      <w:proofErr w:type="spellEnd"/>
      <w:r>
        <w:rPr>
          <w:rFonts w:eastAsia="Times New Roman" w:cstheme="minorHAnsi"/>
          <w:lang w:eastAsia="de-DE"/>
        </w:rPr>
        <w:t xml:space="preserve">&gt;-Ordner enthaltenen </w:t>
      </w:r>
      <w:proofErr w:type="spellStart"/>
      <w:r>
        <w:rPr>
          <w:rFonts w:eastAsia="Times New Roman" w:cstheme="minorHAnsi"/>
          <w:lang w:eastAsia="de-DE"/>
        </w:rPr>
        <w:t>Assemblies</w:t>
      </w:r>
      <w:proofErr w:type="spellEnd"/>
      <w:r>
        <w:rPr>
          <w:rFonts w:eastAsia="Times New Roman" w:cstheme="minorHAnsi"/>
          <w:lang w:eastAsia="de-DE"/>
        </w:rPr>
        <w:t xml:space="preserve"> zu verweisen.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&lt;Binaries&gt;\EAS.LeegooBuilder.Client.Common.ToolsAndUtilities.dll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&lt;Binaries&gt;\EAS.LeegooBuilder.Client.ServerProxy.BusinessServiceClientBase.dll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EAS.LeegooBuilder.Common.CommonTypes.dll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EAS.LeegooBuilder.Server.DataAccess.Core.dll</w:t>
      </w:r>
    </w:p>
    <w:p w:rsidR="00FE3B33" w:rsidRDefault="00FE3B33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&lt;Binaries&gt;\EAS.LeegooBuilder.Client.GUI.Modules.MainModule.dll</w:t>
      </w:r>
    </w:p>
    <w:p w:rsidR="005D32A8" w:rsidRDefault="005D32A8" w:rsidP="005D32A8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5D32A8">
        <w:rPr>
          <w:rFonts w:eastAsia="Times New Roman" w:cstheme="minorHAnsi"/>
          <w:lang w:val="en-US" w:eastAsia="de-DE"/>
        </w:rPr>
        <w:t>ToolsAndUtilities.dll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Microsoft.Practices.Prism.Composition.dll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Microsoft.Practices.Prism.Interactivity.dll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Microsoft.Practices.Prism.MefExtensions.dll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Microsoft.Practices.Prism.Mvvm.dll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Microsoft.Practices.Prism.Mvvm.Desktop.dll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Microsoft.Practices.Prism.PubSubEvents.dll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Microsoft.Practices.Prism.SharedInterfaces.dll</w:t>
      </w:r>
    </w:p>
    <w:p w:rsidR="00356C7C" w:rsidRPr="005D32A8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Microsoft.Practices.ServiceLocation.dll</w:t>
      </w:r>
    </w:p>
    <w:p w:rsidR="005D32A8" w:rsidRDefault="0057008F" w:rsidP="00BA2ED1">
      <w:r w:rsidRPr="0057008F">
        <w:t xml:space="preserve">Falls es gewünscht ist, z.B. </w:t>
      </w:r>
      <w:r>
        <w:t xml:space="preserve">von der in LEEGOO BUILDER.NET verwendeten Version von </w:t>
      </w:r>
      <w:proofErr w:type="spellStart"/>
      <w:r>
        <w:t>DevExpress</w:t>
      </w:r>
      <w:proofErr w:type="spellEnd"/>
      <w:r>
        <w:t xml:space="preserve"> unabhängig zu sein, muss die Eigenschaft ‚Lokale Kopie‘ bei allen entsprechenden Verweisen auf </w:t>
      </w:r>
      <w:proofErr w:type="spellStart"/>
      <w:r>
        <w:t>true</w:t>
      </w:r>
      <w:proofErr w:type="spellEnd"/>
      <w:r>
        <w:t xml:space="preserve"> gesetzt werden. Dadurch werden die verwendeten </w:t>
      </w:r>
      <w:proofErr w:type="spellStart"/>
      <w:r>
        <w:t>Assemblies</w:t>
      </w:r>
      <w:proofErr w:type="spellEnd"/>
      <w:r>
        <w:t xml:space="preserve"> mit in den Ausgabepfad kopiert.</w:t>
      </w:r>
    </w:p>
    <w:p w:rsidR="0057008F" w:rsidRPr="0057008F" w:rsidRDefault="0057008F" w:rsidP="00BA2ED1"/>
    <w:p w:rsidR="0004073F" w:rsidRPr="005D32A8" w:rsidRDefault="0004073F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lastRenderedPageBreak/>
        <w:t>Umbenennen von Dateien</w:t>
      </w:r>
    </w:p>
    <w:p w:rsidR="00356C7C" w:rsidRDefault="004D7EFA" w:rsidP="00BA2ED1">
      <w:r>
        <w:t xml:space="preserve">Folgende Dateien sollten </w:t>
      </w:r>
      <w:r w:rsidR="00356C7C">
        <w:t>umbenannt werden:</w:t>
      </w:r>
    </w:p>
    <w:p w:rsidR="003E1030" w:rsidRDefault="003E1030" w:rsidP="003E1030">
      <w:pPr>
        <w:pStyle w:val="Listenabsatz"/>
        <w:numPr>
          <w:ilvl w:val="0"/>
          <w:numId w:val="2"/>
        </w:numPr>
      </w:pPr>
      <w:proofErr w:type="spellStart"/>
      <w:r w:rsidRPr="003E1030">
        <w:t>DemoPlugIn.csproj</w:t>
      </w:r>
      <w:proofErr w:type="spellEnd"/>
    </w:p>
    <w:p w:rsidR="00356C7C" w:rsidRDefault="0004073F" w:rsidP="003E1030">
      <w:pPr>
        <w:pStyle w:val="Listenabsatz"/>
        <w:numPr>
          <w:ilvl w:val="0"/>
          <w:numId w:val="2"/>
        </w:numPr>
      </w:pPr>
      <w:proofErr w:type="spellStart"/>
      <w:r w:rsidRPr="0004073F">
        <w:t>DemoPlugInMainModuleController</w:t>
      </w:r>
      <w:r w:rsidR="004D7EFA">
        <w:t>.cs</w:t>
      </w:r>
      <w:proofErr w:type="spellEnd"/>
    </w:p>
    <w:p w:rsidR="0004073F" w:rsidRDefault="004D7EFA" w:rsidP="00356C7C">
      <w:pPr>
        <w:pStyle w:val="Listenabsatz"/>
        <w:numPr>
          <w:ilvl w:val="0"/>
          <w:numId w:val="2"/>
        </w:numPr>
      </w:pPr>
      <w:proofErr w:type="spellStart"/>
      <w:r w:rsidRPr="004D7EFA">
        <w:t>DemoPlugInModuleInit.cs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DemoPlugInViewModel.cs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DemoPlugInViewModelCommands.cs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DemoPluginView.xaml</w:t>
      </w:r>
      <w:proofErr w:type="spellEnd"/>
    </w:p>
    <w:p w:rsidR="005D32A8" w:rsidRDefault="005D32A8" w:rsidP="005D32A8">
      <w:r>
        <w:t xml:space="preserve">Die Namespaces sollten </w:t>
      </w:r>
      <w:r w:rsidR="00D63CA3">
        <w:t>e</w:t>
      </w:r>
      <w:r>
        <w:t>ntsprechend angepasst werden.</w:t>
      </w:r>
      <w:r w:rsidR="00D63CA3">
        <w:br/>
        <w:t xml:space="preserve">Die Datei </w:t>
      </w:r>
      <w:proofErr w:type="spellStart"/>
      <w:r w:rsidR="00D63CA3">
        <w:t>Themes</w:t>
      </w:r>
      <w:proofErr w:type="spellEnd"/>
      <w:r w:rsidR="00D63CA3">
        <w:t>\</w:t>
      </w:r>
      <w:proofErr w:type="spellStart"/>
      <w:r w:rsidR="00D63CA3">
        <w:t>Generic.xaml</w:t>
      </w:r>
      <w:proofErr w:type="spellEnd"/>
      <w:r w:rsidR="00D63CA3">
        <w:t xml:space="preserve"> darf nicht umbenannt werden!</w:t>
      </w:r>
    </w:p>
    <w:p w:rsidR="00376EF8" w:rsidRDefault="00376EF8" w:rsidP="00BA2ED1"/>
    <w:p w:rsidR="00376EF8" w:rsidRDefault="00376EF8" w:rsidP="00BA2ED1"/>
    <w:p w:rsidR="00376EF8" w:rsidRPr="00376EF8" w:rsidRDefault="00376EF8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376EF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Entfernen der TFS-Einträge</w:t>
      </w:r>
    </w:p>
    <w:p w:rsidR="00376EF8" w:rsidRDefault="00376EF8" w:rsidP="00376EF8">
      <w:r>
        <w:t xml:space="preserve">EAS verwendet für die Entwicklung den </w:t>
      </w:r>
      <w:proofErr w:type="spellStart"/>
      <w:r>
        <w:t>TeamFoundationServer</w:t>
      </w:r>
      <w:proofErr w:type="spellEnd"/>
      <w:r>
        <w:t xml:space="preserve">. Das gilt auch für das </w:t>
      </w:r>
      <w:proofErr w:type="spellStart"/>
      <w:r>
        <w:t>DemoPlugin</w:t>
      </w:r>
      <w:proofErr w:type="spellEnd"/>
      <w:r>
        <w:t>.</w:t>
      </w:r>
      <w:r>
        <w:br/>
        <w:t xml:space="preserve">Dadurch wird beim Öffnen der Solution auf fremden Rechnern versucht, auf unseren TFS zu verbinden. Dieser ist jedoch nicht öffentlich zugänglich. </w:t>
      </w:r>
      <w:r>
        <w:br/>
        <w:t>Um die Warnungen dauerhaft zu unterdrücken, müssen folgende Anpassungen durchgeführt werden:</w:t>
      </w:r>
    </w:p>
    <w:p w:rsidR="00376EF8" w:rsidRDefault="00376EF8" w:rsidP="00376EF8">
      <w:r w:rsidRPr="00376EF8">
        <w:rPr>
          <w:b/>
        </w:rPr>
        <w:t xml:space="preserve">Datei </w:t>
      </w:r>
      <w:proofErr w:type="spellStart"/>
      <w:r w:rsidRPr="00376EF8">
        <w:rPr>
          <w:b/>
        </w:rPr>
        <w:t>DemoPlugIn.dsprj</w:t>
      </w:r>
      <w:proofErr w:type="spellEnd"/>
      <w:r>
        <w:br/>
        <w:t xml:space="preserve">Unterhalb von </w:t>
      </w:r>
      <w:r w:rsidRPr="00376EF8">
        <w:t>&lt;Project</w:t>
      </w:r>
      <w:r>
        <w:t>&gt;|</w:t>
      </w:r>
      <w:r w:rsidRPr="00376EF8">
        <w:t>&lt;</w:t>
      </w:r>
      <w:proofErr w:type="spellStart"/>
      <w:r w:rsidRPr="00376EF8">
        <w:t>PropertyGroup</w:t>
      </w:r>
      <w:proofErr w:type="spellEnd"/>
      <w:r w:rsidRPr="00376EF8">
        <w:t>&gt;</w:t>
      </w:r>
      <w:r>
        <w:t xml:space="preserve"> finden sich folgende Einträge:</w:t>
      </w:r>
      <w:r>
        <w:br/>
        <w:t>&lt;</w:t>
      </w:r>
      <w:proofErr w:type="spellStart"/>
      <w:r>
        <w:t>SccProjectName</w:t>
      </w:r>
      <w:proofErr w:type="spellEnd"/>
      <w:r>
        <w:t>&gt;SAK&lt;/</w:t>
      </w:r>
      <w:proofErr w:type="spellStart"/>
      <w:r>
        <w:t>SccProjectName</w:t>
      </w:r>
      <w:proofErr w:type="spellEnd"/>
      <w:r>
        <w:t>&gt;</w:t>
      </w:r>
      <w:r>
        <w:br/>
      </w:r>
      <w:r w:rsidRPr="00376EF8">
        <w:t>&lt;</w:t>
      </w:r>
      <w:proofErr w:type="spellStart"/>
      <w:r w:rsidRPr="00376EF8">
        <w:t>SccLocalPath</w:t>
      </w:r>
      <w:proofErr w:type="spellEnd"/>
      <w:r w:rsidRPr="00376EF8">
        <w:t>&gt;SAK&lt;/</w:t>
      </w:r>
      <w:proofErr w:type="spellStart"/>
      <w:r w:rsidRPr="00376EF8">
        <w:t>SccLocalPath</w:t>
      </w:r>
      <w:proofErr w:type="spellEnd"/>
      <w:r w:rsidRPr="00376EF8">
        <w:t>&gt;</w:t>
      </w:r>
      <w:r>
        <w:br/>
      </w:r>
      <w:r w:rsidRPr="00376EF8">
        <w:t>&lt;</w:t>
      </w:r>
      <w:proofErr w:type="spellStart"/>
      <w:r w:rsidRPr="00376EF8">
        <w:t>SccAuxPath</w:t>
      </w:r>
      <w:proofErr w:type="spellEnd"/>
      <w:r w:rsidRPr="00376EF8">
        <w:t>&gt;SAK&lt;/</w:t>
      </w:r>
      <w:proofErr w:type="spellStart"/>
      <w:r w:rsidRPr="00376EF8">
        <w:t>SccAuxPath</w:t>
      </w:r>
      <w:proofErr w:type="spellEnd"/>
      <w:r w:rsidRPr="00376EF8">
        <w:t>&gt;</w:t>
      </w:r>
      <w:r>
        <w:br/>
        <w:t>&lt;</w:t>
      </w:r>
      <w:proofErr w:type="spellStart"/>
      <w:r>
        <w:t>SccProvider</w:t>
      </w:r>
      <w:proofErr w:type="spellEnd"/>
      <w:r>
        <w:t>&gt;SAK&lt;/</w:t>
      </w:r>
      <w:proofErr w:type="spellStart"/>
      <w:r>
        <w:t>SccProvider</w:t>
      </w:r>
      <w:proofErr w:type="spellEnd"/>
      <w:r>
        <w:t>&gt;</w:t>
      </w:r>
      <w:r>
        <w:br/>
        <w:t>Diese Zeilen müssen gelöscht werden</w:t>
      </w:r>
    </w:p>
    <w:p w:rsidR="00376EF8" w:rsidRDefault="00376EF8" w:rsidP="00376EF8"/>
    <w:p w:rsidR="00376EF8" w:rsidRDefault="00376EF8" w:rsidP="00376EF8">
      <w:r w:rsidRPr="00376EF8">
        <w:rPr>
          <w:b/>
        </w:rPr>
        <w:t>Datei DemoPlugIn.sln</w:t>
      </w:r>
      <w:r>
        <w:br/>
        <w:t xml:space="preserve">Unterhalb von </w:t>
      </w:r>
      <w:r w:rsidRPr="00376EF8">
        <w:t>Global</w:t>
      </w:r>
      <w:r>
        <w:t>|</w:t>
      </w:r>
      <w:r w:rsidRPr="00376EF8">
        <w:t xml:space="preserve"> </w:t>
      </w:r>
      <w:proofErr w:type="spellStart"/>
      <w:r w:rsidRPr="00376EF8">
        <w:t>GlobalSection</w:t>
      </w:r>
      <w:proofErr w:type="spellEnd"/>
      <w:r w:rsidRPr="00376EF8">
        <w:t>(</w:t>
      </w:r>
      <w:proofErr w:type="spellStart"/>
      <w:r w:rsidRPr="00376EF8">
        <w:t>TeamFoundationVersionControl</w:t>
      </w:r>
      <w:proofErr w:type="spellEnd"/>
      <w:r w:rsidRPr="00376EF8">
        <w:t xml:space="preserve">) = </w:t>
      </w:r>
      <w:proofErr w:type="spellStart"/>
      <w:r w:rsidRPr="00376EF8">
        <w:t>preSolution</w:t>
      </w:r>
      <w:proofErr w:type="spellEnd"/>
      <w:r>
        <w:t xml:space="preserve"> findet sich folgender Eintrag:</w:t>
      </w:r>
      <w:r>
        <w:br/>
      </w:r>
      <w:proofErr w:type="spellStart"/>
      <w:r w:rsidRPr="00376EF8">
        <w:t>SccTeamFoundationServer</w:t>
      </w:r>
      <w:proofErr w:type="spellEnd"/>
      <w:r w:rsidRPr="00376EF8">
        <w:t xml:space="preserve"> = </w:t>
      </w:r>
      <w:hyperlink r:id="rId7" w:history="1">
        <w:r w:rsidRPr="00B91123">
          <w:rPr>
            <w:rStyle w:val="Hyperlink"/>
          </w:rPr>
          <w:t>https://eas.dnsalias.net:8010/tfs/defaultcollection</w:t>
        </w:r>
      </w:hyperlink>
      <w:r>
        <w:br/>
        <w:t>Diese Zeile muss gelöscht werden.</w:t>
      </w:r>
    </w:p>
    <w:p w:rsidR="00D63CA3" w:rsidRDefault="00D63CA3" w:rsidP="00BA2ED1"/>
    <w:p w:rsidR="00376EF8" w:rsidRDefault="00376EF8" w:rsidP="00BA2ED1"/>
    <w:p w:rsidR="0004073F" w:rsidRPr="005D32A8" w:rsidRDefault="0004073F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Sonstige Anpassungen</w:t>
      </w:r>
    </w:p>
    <w:p w:rsidR="005D32A8" w:rsidRDefault="005D32A8" w:rsidP="004D7EFA">
      <w:r>
        <w:lastRenderedPageBreak/>
        <w:t>Datei Properties\</w:t>
      </w:r>
      <w:proofErr w:type="spellStart"/>
      <w:r w:rsidRPr="005D32A8">
        <w:rPr>
          <w:u w:val="single"/>
        </w:rPr>
        <w:t>AssemblyInfo.cs</w:t>
      </w:r>
      <w:proofErr w:type="spellEnd"/>
      <w:r>
        <w:br/>
      </w:r>
      <w:proofErr w:type="spellStart"/>
      <w:r>
        <w:t>Atribute</w:t>
      </w:r>
      <w:proofErr w:type="spellEnd"/>
      <w:r>
        <w:t xml:space="preserve"> </w:t>
      </w:r>
      <w:proofErr w:type="spellStart"/>
      <w:r>
        <w:t>AssembyTite</w:t>
      </w:r>
      <w:proofErr w:type="spellEnd"/>
      <w:r>
        <w:t>() umbenennen</w:t>
      </w:r>
      <w:r>
        <w:br/>
        <w:t xml:space="preserve">Attribut </w:t>
      </w:r>
      <w:proofErr w:type="spellStart"/>
      <w:r>
        <w:t>AssemblyProduct</w:t>
      </w:r>
      <w:proofErr w:type="spellEnd"/>
      <w:r>
        <w:t>() umbenennen</w:t>
      </w:r>
    </w:p>
    <w:p w:rsidR="004D7EFA" w:rsidRDefault="004D7EFA" w:rsidP="004D7EFA">
      <w:r>
        <w:t xml:space="preserve">Datei </w:t>
      </w:r>
      <w:proofErr w:type="spellStart"/>
      <w:r w:rsidRPr="005D32A8">
        <w:rPr>
          <w:u w:val="single"/>
        </w:rPr>
        <w:t>DemoPlugInMainModuleController.cs</w:t>
      </w:r>
      <w:proofErr w:type="spellEnd"/>
      <w:r w:rsidR="005D32A8">
        <w:br/>
      </w:r>
      <w:r>
        <w:t xml:space="preserve">Konstante </w:t>
      </w:r>
      <w:proofErr w:type="spellStart"/>
      <w:r>
        <w:t>DemoPlugInRegionName</w:t>
      </w:r>
      <w:proofErr w:type="spellEnd"/>
      <w:r>
        <w:t xml:space="preserve"> umben</w:t>
      </w:r>
      <w:r w:rsidR="005D32A8">
        <w:t>ennen</w:t>
      </w:r>
    </w:p>
    <w:p w:rsidR="004D7EFA" w:rsidRDefault="005D32A8" w:rsidP="004D7EFA">
      <w:r>
        <w:t xml:space="preserve">Datei </w:t>
      </w:r>
      <w:proofErr w:type="spellStart"/>
      <w:r w:rsidR="004D7EFA" w:rsidRPr="005D32A8">
        <w:rPr>
          <w:u w:val="single"/>
        </w:rPr>
        <w:t>Datei</w:t>
      </w:r>
      <w:proofErr w:type="spellEnd"/>
      <w:r w:rsidR="004D7EFA" w:rsidRPr="005D32A8">
        <w:rPr>
          <w:u w:val="single"/>
        </w:rPr>
        <w:t xml:space="preserve"> </w:t>
      </w:r>
      <w:proofErr w:type="spellStart"/>
      <w:r w:rsidR="004D7EFA" w:rsidRPr="005D32A8">
        <w:rPr>
          <w:u w:val="single"/>
        </w:rPr>
        <w:t>DemoPlugInModuleInit.cs</w:t>
      </w:r>
      <w:proofErr w:type="spellEnd"/>
      <w:r w:rsidR="004D7EFA">
        <w:br/>
        <w:t xml:space="preserve">Variable </w:t>
      </w:r>
      <w:proofErr w:type="spellStart"/>
      <w:r w:rsidR="004D7EFA">
        <w:t>demoPlugInModuleController</w:t>
      </w:r>
      <w:proofErr w:type="spellEnd"/>
      <w:r>
        <w:t xml:space="preserve"> umbenennen</w:t>
      </w:r>
      <w:r w:rsidR="004D7EFA">
        <w:br/>
        <w:t xml:space="preserve">Attribut  </w:t>
      </w:r>
      <w:proofErr w:type="spellStart"/>
      <w:r w:rsidR="004D7EFA">
        <w:t>ModuleExport</w:t>
      </w:r>
      <w:proofErr w:type="spellEnd"/>
      <w:r w:rsidR="004D7EFA">
        <w:t>() umbenennen</w:t>
      </w:r>
    </w:p>
    <w:p w:rsidR="0004073F" w:rsidRDefault="005D32A8" w:rsidP="00BA2ED1">
      <w:r>
        <w:t>Datei Images\</w:t>
      </w:r>
      <w:proofErr w:type="spellStart"/>
      <w:r>
        <w:t>NavigationBar</w:t>
      </w:r>
      <w:proofErr w:type="spellEnd"/>
      <w:r>
        <w:t>\</w:t>
      </w:r>
      <w:r w:rsidRPr="005D32A8">
        <w:rPr>
          <w:u w:val="single"/>
        </w:rPr>
        <w:t>plugin_32x32.png</w:t>
      </w:r>
      <w:r>
        <w:br/>
        <w:t xml:space="preserve">Ersetzen durch ein eigenes </w:t>
      </w:r>
      <w:proofErr w:type="spellStart"/>
      <w:r>
        <w:t>Glyph</w:t>
      </w:r>
      <w:proofErr w:type="spellEnd"/>
      <w:r>
        <w:t xml:space="preserve"> in der Größe 32x32</w:t>
      </w:r>
      <w:r>
        <w:br/>
        <w:t xml:space="preserve">Falls diese Datei auch umbenannt wird, muss dies in der Datei </w:t>
      </w:r>
      <w:proofErr w:type="spellStart"/>
      <w:r>
        <w:t>DemoPluginMainModuleController</w:t>
      </w:r>
      <w:proofErr w:type="spellEnd"/>
      <w:r>
        <w:t xml:space="preserve"> beim Aufruf von </w:t>
      </w:r>
      <w:proofErr w:type="spellStart"/>
      <w:r>
        <w:t>RegisterViewModel</w:t>
      </w:r>
      <w:proofErr w:type="spellEnd"/>
      <w:r>
        <w:t>() angepasst werden</w:t>
      </w:r>
    </w:p>
    <w:p w:rsidR="0004073F" w:rsidRDefault="0004073F" w:rsidP="00BA2ED1"/>
    <w:p w:rsidR="00EB4F79" w:rsidRDefault="00EB4F79" w:rsidP="00BA2ED1"/>
    <w:p w:rsidR="00D63CA3" w:rsidRPr="00D63CA3" w:rsidRDefault="00D63CA3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Projekteigenschaften</w:t>
      </w:r>
      <w:r w:rsidRPr="00D63CA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 anpassen</w:t>
      </w:r>
    </w:p>
    <w:p w:rsidR="00D63CA3" w:rsidRDefault="00D63CA3" w:rsidP="00BA2ED1">
      <w:r>
        <w:t>In den Projekteigenschaften müssen folgende Änderungen durchgeführt werden:</w:t>
      </w:r>
    </w:p>
    <w:p w:rsidR="00AF5948" w:rsidRDefault="00AF5948" w:rsidP="00D63CA3">
      <w:pPr>
        <w:pStyle w:val="Listenabsatz"/>
        <w:numPr>
          <w:ilvl w:val="0"/>
          <w:numId w:val="4"/>
        </w:numPr>
      </w:pPr>
      <w:proofErr w:type="spellStart"/>
      <w:r>
        <w:t>AssemblyName</w:t>
      </w:r>
      <w:proofErr w:type="spellEnd"/>
      <w:r>
        <w:t xml:space="preserve"> und Standardnamespace müssen angepasst werden</w:t>
      </w:r>
    </w:p>
    <w:p w:rsidR="00D63CA3" w:rsidRDefault="00D63CA3" w:rsidP="00D63CA3">
      <w:pPr>
        <w:pStyle w:val="Listenabsatz"/>
        <w:numPr>
          <w:ilvl w:val="0"/>
          <w:numId w:val="4"/>
        </w:numPr>
      </w:pPr>
      <w:r>
        <w:t xml:space="preserve">Der Ausgabepfad muss auf </w:t>
      </w:r>
      <w:proofErr w:type="spellStart"/>
      <w:r w:rsidR="008D6B6E">
        <w:t>denUnterordner</w:t>
      </w:r>
      <w:proofErr w:type="spellEnd"/>
      <w:r w:rsidR="008D6B6E">
        <w:t xml:space="preserve"> </w:t>
      </w:r>
      <w:proofErr w:type="spellStart"/>
      <w:r w:rsidR="008D6B6E">
        <w:t>PlugIns</w:t>
      </w:r>
      <w:proofErr w:type="spellEnd"/>
      <w:r w:rsidR="008D6B6E">
        <w:t>\</w:t>
      </w:r>
      <w:proofErr w:type="spellStart"/>
      <w:r w:rsidR="008D6B6E">
        <w:t>DemoPlugIn</w:t>
      </w:r>
      <w:proofErr w:type="spellEnd"/>
      <w:r w:rsidR="008D6B6E">
        <w:t xml:space="preserve"> (o.ä.) unterhalb des </w:t>
      </w:r>
      <w:r>
        <w:t>lokale</w:t>
      </w:r>
      <w:r w:rsidR="008D6B6E">
        <w:t>n</w:t>
      </w:r>
      <w:r>
        <w:t xml:space="preserve"> Bin-Verzeichnis </w:t>
      </w:r>
      <w:r w:rsidR="008D6B6E">
        <w:t>des</w:t>
      </w:r>
      <w:r>
        <w:t xml:space="preserve"> LEEGOO BUILDER.NET zeigen</w:t>
      </w:r>
    </w:p>
    <w:p w:rsidR="00AF5948" w:rsidRDefault="00AF5948" w:rsidP="00AF5948">
      <w:pPr>
        <w:pStyle w:val="Listenabsatz"/>
        <w:numPr>
          <w:ilvl w:val="0"/>
          <w:numId w:val="4"/>
        </w:numPr>
      </w:pPr>
      <w:r>
        <w:t>Als Startaktion muss ‚Externes Programm starten‘ angewählt werden. Programm muss auf &lt;</w:t>
      </w:r>
      <w:proofErr w:type="spellStart"/>
      <w:r>
        <w:t>Binaries</w:t>
      </w:r>
      <w:proofErr w:type="spellEnd"/>
      <w:r>
        <w:t>&gt;</w:t>
      </w:r>
      <w:r w:rsidRPr="00AF5948">
        <w:t>EAS.LeegooBuilder.Client.GUI.Shell.exe</w:t>
      </w:r>
      <w:r>
        <w:t xml:space="preserve"> gestellt werden.</w:t>
      </w:r>
    </w:p>
    <w:p w:rsidR="00D63CA3" w:rsidRDefault="00D63CA3" w:rsidP="00D63CA3"/>
    <w:p w:rsidR="00D63CA3" w:rsidRDefault="00D63CA3" w:rsidP="00D63CA3"/>
    <w:p w:rsidR="00D63CA3" w:rsidRPr="00D63CA3" w:rsidRDefault="00D63CA3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D63CA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Integration in LEEGOO BUILDER.NET </w:t>
      </w:r>
    </w:p>
    <w:p w:rsidR="00D63CA3" w:rsidRDefault="00D63CA3" w:rsidP="00D63CA3">
      <w:r>
        <w:t xml:space="preserve">In der Datei </w:t>
      </w:r>
      <w:proofErr w:type="spellStart"/>
      <w:r w:rsidRPr="00D63CA3">
        <w:t>EAS.LeegooBuilder.Client.GUI.Shell.exe.config</w:t>
      </w:r>
      <w:proofErr w:type="spellEnd"/>
      <w:r>
        <w:t xml:space="preserve"> muss unterhalb von &lt;Modules&gt; </w:t>
      </w:r>
      <w:proofErr w:type="gramStart"/>
      <w:r>
        <w:t>Folgendes  ergänzt</w:t>
      </w:r>
      <w:proofErr w:type="gramEnd"/>
      <w:r>
        <w:t xml:space="preserve"> werden: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E1213A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   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&lt;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module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startupLoaded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true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assemblyFile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="00A12007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PlugIns\DemoPlugIn\D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emoPlugIn.dll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moduleType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="00CF4E5A" w:rsidRPr="00CF4E5A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EAS.LeegooBuilder.Client.GUI.Modules.DemoPluginModule.ModuleInit, EAS.LeegooBuilder.Client.GUI.Modules.DemoPluginModule"</w:t>
      </w:r>
      <w:bookmarkStart w:id="0" w:name="_GoBack"/>
      <w:bookmarkEnd w:id="0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moduleName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DemoPlugInModule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&lt;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dependencies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  &lt;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dependency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proofErr w:type="spellStart"/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moduleName</w:t>
      </w:r>
      <w:proofErr w:type="spellEnd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proofErr w:type="spellStart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MainModule</w:t>
      </w:r>
      <w:proofErr w:type="spellEnd"/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/&gt;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&lt;/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dependencies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&lt;/</w:t>
      </w:r>
      <w:proofErr w:type="spellStart"/>
      <w:r w:rsidRPr="00D63CA3">
        <w:rPr>
          <w:rFonts w:ascii="Consolas" w:eastAsia="Times New Roman" w:hAnsi="Consolas" w:cs="Consolas"/>
          <w:color w:val="A31515"/>
          <w:sz w:val="16"/>
          <w:szCs w:val="16"/>
          <w:lang w:eastAsia="de-DE"/>
        </w:rPr>
        <w:t>module</w:t>
      </w:r>
      <w:proofErr w:type="spellEnd"/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&gt;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ab/>
      </w:r>
    </w:p>
    <w:p w:rsidR="00CC6A85" w:rsidRDefault="00CC6A85" w:rsidP="00D63CA3"/>
    <w:p w:rsidR="00D63CA3" w:rsidRDefault="00D63CA3" w:rsidP="00D63CA3">
      <w:r>
        <w:t xml:space="preserve">Die dort angegebenen </w:t>
      </w:r>
      <w:r w:rsidR="00AF5948">
        <w:t xml:space="preserve">Bezeichner von </w:t>
      </w:r>
      <w:proofErr w:type="spellStart"/>
      <w:r w:rsidR="00AF5948">
        <w:t>assemblyFile</w:t>
      </w:r>
      <w:proofErr w:type="spellEnd"/>
      <w:r>
        <w:t xml:space="preserve">, </w:t>
      </w:r>
      <w:proofErr w:type="spellStart"/>
      <w:r w:rsidR="00AF5948">
        <w:t>m</w:t>
      </w:r>
      <w:r>
        <w:t>odule</w:t>
      </w:r>
      <w:r w:rsidR="00AF5948">
        <w:t>Type</w:t>
      </w:r>
      <w:proofErr w:type="spellEnd"/>
      <w:r w:rsidR="00AF5948">
        <w:t xml:space="preserve"> und </w:t>
      </w:r>
      <w:proofErr w:type="spellStart"/>
      <w:r w:rsidR="00AF5948">
        <w:t>ModuleName</w:t>
      </w:r>
      <w:proofErr w:type="spellEnd"/>
      <w:r w:rsidR="00AF5948">
        <w:t xml:space="preserve">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ModuleName</w:t>
      </w:r>
      <w:proofErr w:type="spellEnd"/>
      <w:r>
        <w:t xml:space="preserve"> müssen angepasst werden</w:t>
      </w:r>
    </w:p>
    <w:p w:rsidR="00D63CA3" w:rsidRDefault="00AF5948" w:rsidP="00D63CA3">
      <w:r>
        <w:t xml:space="preserve">In </w:t>
      </w:r>
      <w:proofErr w:type="spellStart"/>
      <w:r>
        <w:t>DemoPlugInMainModuleController.RegisterNavBarItem</w:t>
      </w:r>
      <w:proofErr w:type="spellEnd"/>
      <w:r>
        <w:t xml:space="preserve"> () kann über die Konstante ‚</w:t>
      </w:r>
      <w:proofErr w:type="spellStart"/>
      <w:r>
        <w:t>position</w:t>
      </w:r>
      <w:proofErr w:type="spellEnd"/>
      <w:r>
        <w:t xml:space="preserve">‘ </w:t>
      </w:r>
      <w:r w:rsidR="00CC6A85">
        <w:t xml:space="preserve">die Position des </w:t>
      </w:r>
      <w:proofErr w:type="spellStart"/>
      <w:r w:rsidR="00CC6A85">
        <w:t>Glyphs</w:t>
      </w:r>
      <w:proofErr w:type="spellEnd"/>
      <w:r w:rsidR="00CC6A85">
        <w:t xml:space="preserve"> innerhalb der </w:t>
      </w:r>
      <w:proofErr w:type="spellStart"/>
      <w:r w:rsidR="00CC6A85">
        <w:t>NavigationBar</w:t>
      </w:r>
      <w:proofErr w:type="spellEnd"/>
      <w:r w:rsidR="00CC6A85">
        <w:t xml:space="preserve"> angepasst werden.</w:t>
      </w:r>
      <w:r w:rsidR="002041A5">
        <w:br/>
      </w:r>
      <w:r w:rsidR="002041A5">
        <w:lastRenderedPageBreak/>
        <w:t xml:space="preserve">An gleicher Stelle können diverse </w:t>
      </w:r>
      <w:proofErr w:type="spellStart"/>
      <w:r w:rsidR="002041A5">
        <w:t>EventHandler</w:t>
      </w:r>
      <w:proofErr w:type="spellEnd"/>
      <w:r w:rsidR="002041A5">
        <w:t xml:space="preserve"> des LEEGOO BUILDER.NET abonniert werden, um auf verschiedene Programmereignisse reagieren zu können (z.B. Speichern von Bewegungsdaten).</w:t>
      </w:r>
    </w:p>
    <w:p w:rsidR="00CC6A85" w:rsidRDefault="00CC6A85" w:rsidP="00D63CA3"/>
    <w:p w:rsidR="00CC6A85" w:rsidRDefault="00CC6A85" w:rsidP="00D63CA3"/>
    <w:p w:rsidR="00C312D1" w:rsidRPr="00D82AE3" w:rsidRDefault="00C312D1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82AE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ViewModel</w:t>
      </w:r>
      <w:proofErr w:type="spellEnd"/>
      <w:r w:rsidRPr="00D82AE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 anpassen</w:t>
      </w:r>
    </w:p>
    <w:p w:rsidR="00C312D1" w:rsidRDefault="00D82AE3" w:rsidP="00D63CA3">
      <w:r>
        <w:t xml:space="preserve">Im </w:t>
      </w:r>
      <w:proofErr w:type="spellStart"/>
      <w:r>
        <w:t>DemoPlugInViewModel</w:t>
      </w:r>
      <w:proofErr w:type="spellEnd"/>
      <w:r>
        <w:t xml:space="preserve"> sollten folgende Anpassungen durchgeführt werden: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>Property Caption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 xml:space="preserve">In </w:t>
      </w:r>
      <w:proofErr w:type="spellStart"/>
      <w:r>
        <w:t>SetupUI</w:t>
      </w:r>
      <w:proofErr w:type="spellEnd"/>
      <w:r>
        <w:t>()</w:t>
      </w:r>
      <w:r w:rsidR="00A12007">
        <w:t xml:space="preserve"> </w:t>
      </w:r>
      <w:r>
        <w:t>die Variable ‚</w:t>
      </w:r>
      <w:proofErr w:type="spellStart"/>
      <w:r>
        <w:t>titel</w:t>
      </w:r>
      <w:proofErr w:type="spellEnd"/>
      <w:r>
        <w:t>‘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 xml:space="preserve">In </w:t>
      </w:r>
      <w:proofErr w:type="spellStart"/>
      <w:r>
        <w:t>SetUpRibbonViewModel</w:t>
      </w:r>
      <w:proofErr w:type="spellEnd"/>
      <w:r>
        <w:t>() das Ribbon neu aufbauen</w:t>
      </w:r>
    </w:p>
    <w:p w:rsidR="00C312D1" w:rsidRDefault="00C312D1" w:rsidP="00D63CA3"/>
    <w:p w:rsidR="003E1030" w:rsidRDefault="003E1030" w:rsidP="00D63CA3"/>
    <w:p w:rsidR="003E1030" w:rsidRPr="003E1030" w:rsidRDefault="003E1030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</w:pPr>
      <w:r w:rsidRPr="003E1030"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  <w:t xml:space="preserve">View </w:t>
      </w:r>
      <w:proofErr w:type="spellStart"/>
      <w:r w:rsidRPr="003E1030"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  <w:t>anpassen</w:t>
      </w:r>
      <w:proofErr w:type="spellEnd"/>
    </w:p>
    <w:p w:rsidR="003E1030" w:rsidRPr="003E1030" w:rsidRDefault="003E1030" w:rsidP="003E1030">
      <w:pPr>
        <w:pStyle w:val="Listenabsatz"/>
        <w:numPr>
          <w:ilvl w:val="0"/>
          <w:numId w:val="6"/>
        </w:numPr>
        <w:rPr>
          <w:lang w:val="en-US"/>
        </w:rPr>
      </w:pPr>
      <w:r>
        <w:t>Pfad ‚/</w:t>
      </w:r>
      <w:proofErr w:type="spellStart"/>
      <w:r>
        <w:t>DemoPlugIn</w:t>
      </w:r>
      <w:proofErr w:type="spellEnd"/>
      <w:r>
        <w:t>‘ im ‚</w:t>
      </w:r>
      <w:proofErr w:type="spellStart"/>
      <w:r>
        <w:t>SpecialisedDescriptionTemplate</w:t>
      </w:r>
      <w:proofErr w:type="spellEnd"/>
      <w:r>
        <w:t>‘ anpassen</w:t>
      </w:r>
    </w:p>
    <w:p w:rsidR="003E1030" w:rsidRPr="003E1030" w:rsidRDefault="003E1030" w:rsidP="003E1030">
      <w:pPr>
        <w:pStyle w:val="Listenabsatz"/>
        <w:numPr>
          <w:ilvl w:val="0"/>
          <w:numId w:val="6"/>
        </w:numPr>
        <w:rPr>
          <w:lang w:val="en-US"/>
        </w:rPr>
      </w:pPr>
      <w:r>
        <w:t>Pfad ‚/</w:t>
      </w:r>
      <w:proofErr w:type="spellStart"/>
      <w:r>
        <w:t>DemoPlugIn</w:t>
      </w:r>
      <w:proofErr w:type="spellEnd"/>
      <w:r>
        <w:t>‘ im ‚</w:t>
      </w:r>
      <w:proofErr w:type="spellStart"/>
      <w:r>
        <w:t>SpecialisedLongTextTemplate</w:t>
      </w:r>
      <w:proofErr w:type="spellEnd"/>
      <w:r>
        <w:t>‘ anpassen</w:t>
      </w:r>
    </w:p>
    <w:p w:rsidR="003E1030" w:rsidRPr="003E1030" w:rsidRDefault="003E1030" w:rsidP="003E1030">
      <w:pPr>
        <w:rPr>
          <w:lang w:val="en-US"/>
        </w:rPr>
      </w:pPr>
    </w:p>
    <w:p w:rsidR="003E1030" w:rsidRPr="003E1030" w:rsidRDefault="003E1030" w:rsidP="00D63CA3">
      <w:pPr>
        <w:rPr>
          <w:lang w:val="en-US"/>
        </w:rPr>
      </w:pPr>
    </w:p>
    <w:sectPr w:rsidR="003E1030" w:rsidRPr="003E103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A6D" w:rsidRDefault="00715A6D" w:rsidP="00545037">
      <w:pPr>
        <w:spacing w:after="0" w:line="240" w:lineRule="auto"/>
      </w:pPr>
      <w:r>
        <w:separator/>
      </w:r>
    </w:p>
  </w:endnote>
  <w:endnote w:type="continuationSeparator" w:id="0">
    <w:p w:rsidR="00715A6D" w:rsidRDefault="00715A6D" w:rsidP="0054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037" w:rsidRDefault="00715A6D" w:rsidP="00545037">
    <w:pPr>
      <w:pStyle w:val="Fuzeile"/>
      <w:tabs>
        <w:tab w:val="clear" w:pos="4536"/>
      </w:tabs>
    </w:pPr>
    <w:r>
      <w:fldChar w:fldCharType="begin"/>
    </w:r>
    <w:r>
      <w:instrText xml:space="preserve"> FILENAME  \* Lower \p  \* MERGEFORMAT </w:instrText>
    </w:r>
    <w:r>
      <w:fldChar w:fldCharType="separate"/>
    </w:r>
    <w:r w:rsidR="00C312D1">
      <w:rPr>
        <w:noProof/>
      </w:rPr>
      <w:t>c:\projekte\quelltexte\.net\leegoobuilder\addons\eas\demoplugin\implementierung firmenspezifischer plugins innerhalb von leegoo.docx</w:t>
    </w:r>
    <w:r>
      <w:rPr>
        <w:noProof/>
      </w:rPr>
      <w:fldChar w:fldCharType="end"/>
    </w:r>
    <w:r w:rsidR="00545037">
      <w:tab/>
    </w:r>
    <w:r w:rsidR="00545037">
      <w:fldChar w:fldCharType="begin"/>
    </w:r>
    <w:r w:rsidR="00545037">
      <w:instrText xml:space="preserve"> PAGE  \* Arabic  \* MERGEFORMAT </w:instrText>
    </w:r>
    <w:r w:rsidR="00545037">
      <w:fldChar w:fldCharType="separate"/>
    </w:r>
    <w:r w:rsidR="002041A5">
      <w:rPr>
        <w:noProof/>
      </w:rPr>
      <w:t>4</w:t>
    </w:r>
    <w:r w:rsidR="005450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A6D" w:rsidRDefault="00715A6D" w:rsidP="00545037">
      <w:pPr>
        <w:spacing w:after="0" w:line="240" w:lineRule="auto"/>
      </w:pPr>
      <w:r>
        <w:separator/>
      </w:r>
    </w:p>
  </w:footnote>
  <w:footnote w:type="continuationSeparator" w:id="0">
    <w:p w:rsidR="00715A6D" w:rsidRDefault="00715A6D" w:rsidP="0054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1A9"/>
    <w:multiLevelType w:val="hybridMultilevel"/>
    <w:tmpl w:val="4516A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2BC9"/>
    <w:multiLevelType w:val="hybridMultilevel"/>
    <w:tmpl w:val="E03A8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CE9"/>
    <w:multiLevelType w:val="hybridMultilevel"/>
    <w:tmpl w:val="8F38E93A"/>
    <w:lvl w:ilvl="0" w:tplc="4B4029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934DC7"/>
    <w:multiLevelType w:val="hybridMultilevel"/>
    <w:tmpl w:val="0B04F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020D2"/>
    <w:multiLevelType w:val="hybridMultilevel"/>
    <w:tmpl w:val="971A4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28E2"/>
    <w:multiLevelType w:val="hybridMultilevel"/>
    <w:tmpl w:val="49E2C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F79"/>
    <w:rsid w:val="0004073F"/>
    <w:rsid w:val="00082D5D"/>
    <w:rsid w:val="00170D10"/>
    <w:rsid w:val="00202C64"/>
    <w:rsid w:val="0020344F"/>
    <w:rsid w:val="002041A5"/>
    <w:rsid w:val="002F40DD"/>
    <w:rsid w:val="00330689"/>
    <w:rsid w:val="00356C7C"/>
    <w:rsid w:val="00376EF8"/>
    <w:rsid w:val="003C0483"/>
    <w:rsid w:val="003E1030"/>
    <w:rsid w:val="003E46AC"/>
    <w:rsid w:val="004D14F2"/>
    <w:rsid w:val="004D7EFA"/>
    <w:rsid w:val="00542C72"/>
    <w:rsid w:val="00545037"/>
    <w:rsid w:val="0057008F"/>
    <w:rsid w:val="0058616A"/>
    <w:rsid w:val="005D32A8"/>
    <w:rsid w:val="00715A6D"/>
    <w:rsid w:val="008846E0"/>
    <w:rsid w:val="008D6B6E"/>
    <w:rsid w:val="008E022B"/>
    <w:rsid w:val="00960F09"/>
    <w:rsid w:val="009B599F"/>
    <w:rsid w:val="00A12007"/>
    <w:rsid w:val="00A91307"/>
    <w:rsid w:val="00AF525C"/>
    <w:rsid w:val="00AF5948"/>
    <w:rsid w:val="00B77BA8"/>
    <w:rsid w:val="00BA2ED1"/>
    <w:rsid w:val="00C312D1"/>
    <w:rsid w:val="00C717B9"/>
    <w:rsid w:val="00C83275"/>
    <w:rsid w:val="00CB4971"/>
    <w:rsid w:val="00CC6A85"/>
    <w:rsid w:val="00CF4E5A"/>
    <w:rsid w:val="00D26D3D"/>
    <w:rsid w:val="00D63CA3"/>
    <w:rsid w:val="00D82AE3"/>
    <w:rsid w:val="00E1213A"/>
    <w:rsid w:val="00E31397"/>
    <w:rsid w:val="00E921A5"/>
    <w:rsid w:val="00EB4F79"/>
    <w:rsid w:val="00F11332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5240"/>
  <w15:docId w15:val="{BF4702C7-8F8E-490C-9BCC-F9B3F2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D7EFA"/>
  </w:style>
  <w:style w:type="paragraph" w:styleId="berschrift1">
    <w:name w:val="heading 1"/>
    <w:basedOn w:val="Standard"/>
    <w:next w:val="Standard"/>
    <w:link w:val="berschrift1Zchn"/>
    <w:uiPriority w:val="9"/>
    <w:qFormat/>
    <w:rsid w:val="003E4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5037"/>
  </w:style>
  <w:style w:type="paragraph" w:styleId="Fuzeile">
    <w:name w:val="footer"/>
    <w:basedOn w:val="Standard"/>
    <w:link w:val="Fu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50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0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A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2C6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4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4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3E46AC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3CA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76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as.dnsalias.net:8010/tfs/default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t.AD\AppData\Roaming\Microsoft\Templates\eas_norma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eas_normal</Template>
  <TotalTime>0</TotalTime>
  <Pages>4</Pages>
  <Words>777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Thilo Vitt</dc:creator>
  <cp:lastModifiedBy>Thilo Vitt</cp:lastModifiedBy>
  <cp:revision>16</cp:revision>
  <cp:lastPrinted>2011-05-03T13:36:00Z</cp:lastPrinted>
  <dcterms:created xsi:type="dcterms:W3CDTF">2015-04-15T05:45:00Z</dcterms:created>
  <dcterms:modified xsi:type="dcterms:W3CDTF">2019-04-24T08:37:00Z</dcterms:modified>
</cp:coreProperties>
</file>