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rPr>
      </w:pPr>
      <w:bookmarkStart w:id="0" w:name="_Toc2039070862_WPSOffice_Level1"/>
      <w:r>
        <w:rPr>
          <w:rFonts w:hint="eastAsia"/>
          <w:b/>
          <w:bCs/>
          <w:sz w:val="44"/>
          <w:szCs w:val="44"/>
        </w:rPr>
        <w:t>英荣物流进区预约系统</w:t>
      </w:r>
      <w:bookmarkEnd w:id="0"/>
    </w:p>
    <w:p>
      <w:pPr>
        <w:jc w:val="center"/>
        <w:rPr>
          <w:b/>
          <w:bCs/>
          <w:sz w:val="44"/>
          <w:szCs w:val="44"/>
        </w:rPr>
      </w:pPr>
      <w:r>
        <w:rPr>
          <w:rFonts w:hint="eastAsia"/>
          <w:b/>
          <w:bCs/>
          <w:sz w:val="44"/>
          <w:szCs w:val="44"/>
        </w:rPr>
        <w:t>需求规格说明书</w:t>
      </w: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p>
    <w:p>
      <w:pPr>
        <w:jc w:val="center"/>
        <w:rPr>
          <w:b/>
          <w:bCs/>
          <w:sz w:val="44"/>
          <w:szCs w:val="44"/>
        </w:rPr>
      </w:pPr>
      <w:r>
        <w:rPr>
          <w:rFonts w:hint="eastAsia"/>
          <w:b/>
          <w:bCs/>
          <w:sz w:val="44"/>
          <w:szCs w:val="44"/>
        </w:rPr>
        <w:t>2</w:t>
      </w:r>
      <w:r>
        <w:rPr>
          <w:b/>
          <w:bCs/>
          <w:sz w:val="44"/>
          <w:szCs w:val="44"/>
        </w:rPr>
        <w:t>021.5</w:t>
      </w:r>
    </w:p>
    <w:p>
      <w:pPr>
        <w:widowControl/>
        <w:jc w:val="left"/>
        <w:rPr>
          <w:rFonts w:ascii="宋体" w:hAnsi="宋体" w:eastAsia="宋体"/>
        </w:rPr>
      </w:pPr>
      <w:r>
        <w:rPr>
          <w:rFonts w:ascii="宋体" w:hAnsi="宋体" w:eastAsia="宋体"/>
        </w:rPr>
        <w:br w:type="page"/>
      </w:r>
    </w:p>
    <w:p>
      <w:pPr>
        <w:rPr>
          <w:rFonts w:ascii="宋体" w:hAnsi="宋体" w:eastAsia="宋体"/>
        </w:rPr>
      </w:pPr>
    </w:p>
    <w:sdt>
      <w:sdtPr>
        <w:rPr>
          <w:rFonts w:ascii="宋体" w:hAnsi="宋体" w:eastAsia="宋体"/>
          <w:kern w:val="0"/>
          <w:sz w:val="20"/>
          <w:szCs w:val="20"/>
        </w:rPr>
        <w:id w:val="0"/>
        <w15:color w:val="DBDBDB"/>
      </w:sdtPr>
      <w:sdtEndPr>
        <w:rPr>
          <w:rFonts w:ascii="宋体" w:hAnsi="宋体" w:eastAsia="宋体"/>
          <w:kern w:val="0"/>
          <w:sz w:val="20"/>
          <w:szCs w:val="20"/>
        </w:rPr>
      </w:sdtEndPr>
      <w:sdtContent>
        <w:p>
          <w:pPr>
            <w:jc w:val="center"/>
          </w:pPr>
          <w:bookmarkStart w:id="1" w:name="_Toc218465931_WPSOffice_Type3"/>
          <w:bookmarkEnd w:id="1"/>
          <w:r>
            <w:rPr>
              <w:rFonts w:hint="eastAsia" w:ascii="宋体" w:hAnsi="宋体" w:eastAsia="宋体"/>
            </w:rPr>
            <w:t>目录</w:t>
          </w:r>
        </w:p>
        <w:p>
          <w:pPr>
            <w:pStyle w:val="9"/>
            <w:tabs>
              <w:tab w:val="left" w:pos="420"/>
              <w:tab w:val="right" w:leader="dot" w:pos="8296"/>
            </w:tabs>
            <w:rPr>
              <w:rFonts w:eastAsiaTheme="minorEastAsia"/>
              <w:b w:val="0"/>
              <w:bCs w:val="0"/>
              <w:i w:val="0"/>
              <w:iCs w:val="0"/>
              <w:sz w:val="21"/>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"_Toc73088960" </w:instrText>
          </w:r>
          <w:r>
            <w:fldChar w:fldCharType="separate"/>
          </w:r>
          <w:r>
            <w:rPr>
              <w:rStyle w:val="17"/>
            </w:rPr>
            <w:t>1</w:t>
          </w:r>
          <w:r>
            <w:rPr>
              <w:rFonts w:eastAsiaTheme="minorEastAsia"/>
              <w:b w:val="0"/>
              <w:bCs w:val="0"/>
              <w:i w:val="0"/>
              <w:iCs w:val="0"/>
              <w:sz w:val="21"/>
            </w:rPr>
            <w:tab/>
          </w:r>
          <w:r>
            <w:rPr>
              <w:rStyle w:val="17"/>
              <w:shd w:val="clear" w:color="auto" w:fill="FFFFFF"/>
            </w:rPr>
            <w:t>项目背景</w:t>
          </w:r>
          <w:r>
            <w:tab/>
          </w:r>
          <w:r>
            <w:fldChar w:fldCharType="begin"/>
          </w:r>
          <w:r>
            <w:instrText xml:space="preserve"> PAGEREF _Toc73088960 \h </w:instrText>
          </w:r>
          <w:r>
            <w:fldChar w:fldCharType="separate"/>
          </w:r>
          <w:r>
            <w:t>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"_Toc73088961" </w:instrText>
          </w:r>
          <w:r>
            <w:fldChar w:fldCharType="separate"/>
          </w:r>
          <w:r>
            <w:rPr>
              <w:rStyle w:val="17"/>
            </w:rPr>
            <w:t>2</w:t>
          </w:r>
          <w:r>
            <w:rPr>
              <w:rFonts w:eastAsiaTheme="minorEastAsia"/>
              <w:b w:val="0"/>
              <w:bCs w:val="0"/>
              <w:i w:val="0"/>
              <w:iCs w:val="0"/>
              <w:sz w:val="21"/>
            </w:rPr>
            <w:tab/>
          </w:r>
          <w:r>
            <w:rPr>
              <w:rStyle w:val="17"/>
              <w:shd w:val="clear" w:color="auto" w:fill="FFFFFF"/>
            </w:rPr>
            <w:t>总体业务流程</w:t>
          </w:r>
          <w:r>
            <w:tab/>
          </w:r>
          <w:r>
            <w:fldChar w:fldCharType="begin"/>
          </w:r>
          <w:r>
            <w:instrText xml:space="preserve"> PAGEREF _Toc73088961 \h </w:instrText>
          </w:r>
          <w:r>
            <w:fldChar w:fldCharType="separate"/>
          </w:r>
          <w:r>
            <w:t>3</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"_Toc73088962" </w:instrText>
          </w:r>
          <w:r>
            <w:fldChar w:fldCharType="separate"/>
          </w:r>
          <w:r>
            <w:rPr>
              <w:rStyle w:val="17"/>
            </w:rPr>
            <w:t>3</w:t>
          </w:r>
          <w:r>
            <w:rPr>
              <w:rFonts w:eastAsiaTheme="minorEastAsia"/>
              <w:b w:val="0"/>
              <w:bCs w:val="0"/>
              <w:i w:val="0"/>
              <w:iCs w:val="0"/>
              <w:sz w:val="21"/>
            </w:rPr>
            <w:tab/>
          </w:r>
          <w:r>
            <w:rPr>
              <w:rStyle w:val="17"/>
            </w:rPr>
            <w:t>系统边界</w:t>
          </w:r>
          <w:r>
            <w:tab/>
          </w:r>
          <w:r>
            <w:fldChar w:fldCharType="begin"/>
          </w:r>
          <w:r>
            <w:instrText xml:space="preserve"> PAGEREF _Toc73088962 \h </w:instrText>
          </w:r>
          <w:r>
            <w:fldChar w:fldCharType="separate"/>
          </w:r>
          <w:r>
            <w:t>4</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"_Toc73088963" </w:instrText>
          </w:r>
          <w:r>
            <w:fldChar w:fldCharType="separate"/>
          </w:r>
          <w:r>
            <w:rPr>
              <w:rStyle w:val="17"/>
            </w:rPr>
            <w:t>4</w:t>
          </w:r>
          <w:r>
            <w:rPr>
              <w:rFonts w:eastAsiaTheme="minorEastAsia"/>
              <w:b w:val="0"/>
              <w:bCs w:val="0"/>
              <w:i w:val="0"/>
              <w:iCs w:val="0"/>
              <w:sz w:val="21"/>
            </w:rPr>
            <w:tab/>
          </w:r>
          <w:r>
            <w:rPr>
              <w:rStyle w:val="17"/>
              <w:shd w:val="clear" w:color="auto" w:fill="FFFFFF"/>
            </w:rPr>
            <w:t>系统功能性需求</w:t>
          </w:r>
          <w:r>
            <w:tab/>
          </w:r>
          <w:r>
            <w:fldChar w:fldCharType="begin"/>
          </w:r>
          <w:r>
            <w:instrText xml:space="preserve"> PAGEREF _Toc73088963 \h </w:instrText>
          </w:r>
          <w:r>
            <w:fldChar w:fldCharType="separate"/>
          </w:r>
          <w:r>
            <w:t>4</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"_Toc73088964" </w:instrText>
          </w:r>
          <w:r>
            <w:fldChar w:fldCharType="separate"/>
          </w:r>
          <w:r>
            <w:rPr>
              <w:rStyle w:val="17"/>
            </w:rPr>
            <w:t>4.1</w:t>
          </w:r>
          <w:r>
            <w:rPr>
              <w:rFonts w:eastAsiaTheme="minorEastAsia"/>
              <w:b w:val="0"/>
              <w:bCs w:val="0"/>
              <w:i w:val="0"/>
              <w:iCs w:val="0"/>
              <w:sz w:val="21"/>
            </w:rPr>
            <w:tab/>
          </w:r>
          <w:r>
            <w:rPr>
              <w:rStyle w:val="17"/>
              <w:shd w:val="clear" w:color="auto" w:fill="FFFFFF"/>
            </w:rPr>
            <w:t>系统角色定义</w:t>
          </w:r>
          <w:r>
            <w:tab/>
          </w:r>
          <w:r>
            <w:fldChar w:fldCharType="begin"/>
          </w:r>
          <w:r>
            <w:instrText xml:space="preserve"> PAGEREF _Toc73088964 \h </w:instrText>
          </w:r>
          <w:r>
            <w:fldChar w:fldCharType="separate"/>
          </w:r>
          <w:r>
            <w:t>4</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"_Toc73088965" </w:instrText>
          </w:r>
          <w:r>
            <w:fldChar w:fldCharType="separate"/>
          </w:r>
          <w:r>
            <w:rPr>
              <w:rStyle w:val="17"/>
            </w:rPr>
            <w:t>4.2</w:t>
          </w:r>
          <w:r>
            <w:rPr>
              <w:rFonts w:eastAsiaTheme="minorEastAsia"/>
              <w:b w:val="0"/>
              <w:bCs w:val="0"/>
              <w:i w:val="0"/>
              <w:iCs w:val="0"/>
              <w:sz w:val="21"/>
            </w:rPr>
            <w:tab/>
          </w:r>
          <w:r>
            <w:rPr>
              <w:rStyle w:val="17"/>
              <w:shd w:val="clear" w:color="auto" w:fill="FFFFFF"/>
            </w:rPr>
            <w:t>功能模块划分</w:t>
          </w:r>
          <w:r>
            <w:tab/>
          </w:r>
          <w:r>
            <w:fldChar w:fldCharType="begin"/>
          </w:r>
          <w:r>
            <w:instrText xml:space="preserve"> PAGEREF _Toc73088965 \h </w:instrText>
          </w:r>
          <w:r>
            <w:fldChar w:fldCharType="separate"/>
          </w:r>
          <w:r>
            <w:t>5</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"_Toc73088966" </w:instrText>
          </w:r>
          <w:r>
            <w:fldChar w:fldCharType="separate"/>
          </w:r>
          <w:r>
            <w:rPr>
              <w:rStyle w:val="17"/>
            </w:rPr>
            <w:t>4.3</w:t>
          </w:r>
          <w:r>
            <w:rPr>
              <w:rFonts w:eastAsiaTheme="minorEastAsia"/>
              <w:b w:val="0"/>
              <w:bCs w:val="0"/>
              <w:i w:val="0"/>
              <w:iCs w:val="0"/>
              <w:sz w:val="21"/>
            </w:rPr>
            <w:tab/>
          </w:r>
          <w:r>
            <w:rPr>
              <w:rStyle w:val="17"/>
              <w:shd w:val="clear" w:color="auto" w:fill="FFFFFF"/>
            </w:rPr>
            <w:t>按角色划分</w:t>
          </w:r>
          <w:r>
            <w:tab/>
          </w:r>
          <w:r>
            <w:fldChar w:fldCharType="begin"/>
          </w:r>
          <w:r>
            <w:instrText xml:space="preserve"> PAGEREF _Toc73088966 \h </w:instrText>
          </w:r>
          <w:r>
            <w:fldChar w:fldCharType="separate"/>
          </w:r>
          <w:r>
            <w:t>6</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"_Toc73088967" </w:instrText>
          </w:r>
          <w:r>
            <w:fldChar w:fldCharType="separate"/>
          </w:r>
          <w:r>
            <w:rPr>
              <w:rStyle w:val="17"/>
            </w:rPr>
            <w:t>4.4</w:t>
          </w:r>
          <w:r>
            <w:rPr>
              <w:rFonts w:eastAsiaTheme="minorEastAsia"/>
              <w:b w:val="0"/>
              <w:bCs w:val="0"/>
              <w:i w:val="0"/>
              <w:iCs w:val="0"/>
              <w:sz w:val="21"/>
            </w:rPr>
            <w:tab/>
          </w:r>
          <w:r>
            <w:rPr>
              <w:rStyle w:val="17"/>
              <w:shd w:val="clear" w:color="auto" w:fill="FFFFFF"/>
            </w:rPr>
            <w:t>主要实体分析</w:t>
          </w:r>
          <w:r>
            <w:tab/>
          </w:r>
          <w:r>
            <w:fldChar w:fldCharType="begin"/>
          </w:r>
          <w:r>
            <w:instrText xml:space="preserve"> PAGEREF _Toc73088967 \h </w:instrText>
          </w:r>
          <w:r>
            <w:fldChar w:fldCharType="separate"/>
          </w:r>
          <w:r>
            <w:t>7</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"_Toc73088968" </w:instrText>
          </w:r>
          <w:r>
            <w:fldChar w:fldCharType="separate"/>
          </w:r>
          <w:r>
            <w:rPr>
              <w:rStyle w:val="17"/>
            </w:rPr>
            <w:t>4.5</w:t>
          </w:r>
          <w:r>
            <w:rPr>
              <w:rFonts w:eastAsiaTheme="minorEastAsia"/>
              <w:b w:val="0"/>
              <w:bCs w:val="0"/>
              <w:i w:val="0"/>
              <w:iCs w:val="0"/>
              <w:sz w:val="21"/>
            </w:rPr>
            <w:tab/>
          </w:r>
          <w:r>
            <w:rPr>
              <w:rStyle w:val="17"/>
              <w:shd w:val="clear" w:color="auto" w:fill="FFFFFF"/>
            </w:rPr>
            <w:t>订单状态</w:t>
          </w:r>
          <w:r>
            <w:tab/>
          </w:r>
          <w:r>
            <w:fldChar w:fldCharType="begin"/>
          </w:r>
          <w:r>
            <w:instrText xml:space="preserve"> PAGEREF _Toc73088968 \h </w:instrText>
          </w:r>
          <w:r>
            <w:fldChar w:fldCharType="separate"/>
          </w:r>
          <w:r>
            <w:t>8</w:t>
          </w:r>
          <w:r>
            <w:fldChar w:fldCharType="end"/>
          </w:r>
          <w:r>
            <w:fldChar w:fldCharType="end"/>
          </w:r>
        </w:p>
        <w:p>
          <w:pPr>
            <w:pStyle w:val="9"/>
            <w:tabs>
              <w:tab w:val="left" w:pos="840"/>
              <w:tab w:val="right" w:leader="dot" w:pos="8296"/>
            </w:tabs>
            <w:rPr>
              <w:rFonts w:eastAsiaTheme="minorEastAsia"/>
              <w:b w:val="0"/>
              <w:bCs w:val="0"/>
              <w:i w:val="0"/>
              <w:iCs w:val="0"/>
              <w:sz w:val="21"/>
            </w:rPr>
          </w:pPr>
          <w:r>
            <w:fldChar w:fldCharType="begin"/>
          </w:r>
          <w:r>
            <w:instrText xml:space="preserve"> HYPERLINK \l "_Toc73088969" </w:instrText>
          </w:r>
          <w:r>
            <w:fldChar w:fldCharType="separate"/>
          </w:r>
          <w:r>
            <w:rPr>
              <w:rStyle w:val="17"/>
            </w:rPr>
            <w:t>4.5.1</w:t>
          </w:r>
          <w:r>
            <w:rPr>
              <w:rFonts w:eastAsiaTheme="minorEastAsia"/>
              <w:b w:val="0"/>
              <w:bCs w:val="0"/>
              <w:i w:val="0"/>
              <w:iCs w:val="0"/>
              <w:sz w:val="21"/>
            </w:rPr>
            <w:tab/>
          </w:r>
          <w:r>
            <w:rPr>
              <w:rStyle w:val="17"/>
              <w:rFonts w:ascii="Helvetica" w:hAnsi="Helvetica" w:eastAsia="宋体" w:cs="宋体"/>
              <w:kern w:val="0"/>
              <w:shd w:val="clear" w:color="auto" w:fill="FFFFFF"/>
            </w:rPr>
            <w:t>报关状态图</w:t>
          </w:r>
          <w:r>
            <w:tab/>
          </w:r>
          <w:r>
            <w:fldChar w:fldCharType="begin"/>
          </w:r>
          <w:r>
            <w:instrText xml:space="preserve"> PAGEREF _Toc73088969 \h </w:instrText>
          </w:r>
          <w:r>
            <w:fldChar w:fldCharType="separate"/>
          </w:r>
          <w:r>
            <w:t>8</w:t>
          </w:r>
          <w:r>
            <w:fldChar w:fldCharType="end"/>
          </w:r>
          <w:r>
            <w:fldChar w:fldCharType="end"/>
          </w:r>
        </w:p>
        <w:p>
          <w:pPr>
            <w:pStyle w:val="9"/>
            <w:tabs>
              <w:tab w:val="left" w:pos="840"/>
              <w:tab w:val="right" w:leader="dot" w:pos="8296"/>
            </w:tabs>
            <w:rPr>
              <w:rFonts w:eastAsiaTheme="minorEastAsia"/>
              <w:b w:val="0"/>
              <w:bCs w:val="0"/>
              <w:i w:val="0"/>
              <w:iCs w:val="0"/>
              <w:sz w:val="21"/>
            </w:rPr>
          </w:pPr>
          <w:r>
            <w:fldChar w:fldCharType="begin"/>
          </w:r>
          <w:r>
            <w:instrText xml:space="preserve"> HYPERLINK \l "_Toc73088970" </w:instrText>
          </w:r>
          <w:r>
            <w:fldChar w:fldCharType="separate"/>
          </w:r>
          <w:r>
            <w:rPr>
              <w:rStyle w:val="17"/>
              <w:rFonts w:ascii="Helvetica" w:hAnsi="Helvetica" w:eastAsia="宋体" w:cs="宋体"/>
              <w:kern w:val="0"/>
            </w:rPr>
            <w:t>4.5.2</w:t>
          </w:r>
          <w:r>
            <w:rPr>
              <w:rFonts w:eastAsiaTheme="minorEastAsia"/>
              <w:b w:val="0"/>
              <w:bCs w:val="0"/>
              <w:i w:val="0"/>
              <w:iCs w:val="0"/>
              <w:sz w:val="21"/>
            </w:rPr>
            <w:tab/>
          </w:r>
          <w:r>
            <w:rPr>
              <w:rStyle w:val="17"/>
              <w:rFonts w:ascii="Helvetica" w:hAnsi="Helvetica" w:eastAsia="宋体" w:cs="宋体"/>
              <w:kern w:val="0"/>
              <w:shd w:val="clear" w:color="auto" w:fill="FFFFFF"/>
            </w:rPr>
            <w:t>送货单状态图</w:t>
          </w:r>
          <w:r>
            <w:tab/>
          </w:r>
          <w:r>
            <w:fldChar w:fldCharType="begin"/>
          </w:r>
          <w:r>
            <w:instrText xml:space="preserve"> PAGEREF _Toc73088970 \h </w:instrText>
          </w:r>
          <w:r>
            <w:fldChar w:fldCharType="separate"/>
          </w:r>
          <w:r>
            <w:t>9</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"_Toc73088971" </w:instrText>
          </w:r>
          <w:r>
            <w:fldChar w:fldCharType="separate"/>
          </w:r>
          <w:r>
            <w:rPr>
              <w:rStyle w:val="17"/>
            </w:rPr>
            <w:t>4.6</w:t>
          </w:r>
          <w:r>
            <w:rPr>
              <w:rFonts w:eastAsiaTheme="minorEastAsia"/>
              <w:b w:val="0"/>
              <w:bCs w:val="0"/>
              <w:i w:val="0"/>
              <w:iCs w:val="0"/>
              <w:sz w:val="21"/>
            </w:rPr>
            <w:tab/>
          </w:r>
          <w:r>
            <w:rPr>
              <w:rStyle w:val="17"/>
              <w:shd w:val="clear" w:color="auto" w:fill="FFFFFF"/>
            </w:rPr>
            <w:t>订单明细状态</w:t>
          </w:r>
          <w:r>
            <w:tab/>
          </w:r>
          <w:r>
            <w:fldChar w:fldCharType="begin"/>
          </w:r>
          <w:r>
            <w:instrText xml:space="preserve"> PAGEREF _Toc73088971 \h </w:instrText>
          </w:r>
          <w:r>
            <w:fldChar w:fldCharType="separate"/>
          </w:r>
          <w:r>
            <w:t>10</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"_Toc73088972" </w:instrText>
          </w:r>
          <w:r>
            <w:fldChar w:fldCharType="separate"/>
          </w:r>
          <w:r>
            <w:rPr>
              <w:rStyle w:val="17"/>
            </w:rPr>
            <w:t>4.7</w:t>
          </w:r>
          <w:r>
            <w:rPr>
              <w:rFonts w:eastAsiaTheme="minorEastAsia"/>
              <w:b w:val="0"/>
              <w:bCs w:val="0"/>
              <w:i w:val="0"/>
              <w:iCs w:val="0"/>
              <w:sz w:val="21"/>
            </w:rPr>
            <w:tab/>
          </w:r>
          <w:r>
            <w:rPr>
              <w:rStyle w:val="17"/>
              <w:shd w:val="clear" w:color="auto" w:fill="FFFFFF"/>
            </w:rPr>
            <w:t>报关资料状态</w:t>
          </w:r>
          <w:r>
            <w:tab/>
          </w:r>
          <w:r>
            <w:fldChar w:fldCharType="begin"/>
          </w:r>
          <w:r>
            <w:instrText xml:space="preserve"> PAGEREF _Toc73088972 \h </w:instrText>
          </w:r>
          <w:r>
            <w:fldChar w:fldCharType="separate"/>
          </w:r>
          <w:r>
            <w:t>11</w:t>
          </w:r>
          <w:r>
            <w:fldChar w:fldCharType="end"/>
          </w:r>
          <w:r>
            <w:fldChar w:fldCharType="end"/>
          </w:r>
        </w:p>
        <w:p>
          <w:pPr>
            <w:pStyle w:val="9"/>
            <w:tabs>
              <w:tab w:val="left" w:pos="630"/>
              <w:tab w:val="right" w:leader="dot" w:pos="8296"/>
            </w:tabs>
            <w:rPr>
              <w:rFonts w:eastAsiaTheme="minorEastAsia"/>
              <w:b w:val="0"/>
              <w:bCs w:val="0"/>
              <w:i w:val="0"/>
              <w:iCs w:val="0"/>
              <w:sz w:val="21"/>
            </w:rPr>
          </w:pPr>
          <w:r>
            <w:fldChar w:fldCharType="begin"/>
          </w:r>
          <w:r>
            <w:instrText xml:space="preserve"> HYPERLINK \l "_Toc73088973" </w:instrText>
          </w:r>
          <w:r>
            <w:fldChar w:fldCharType="separate"/>
          </w:r>
          <w:r>
            <w:rPr>
              <w:rStyle w:val="17"/>
            </w:rPr>
            <w:t>4.8</w:t>
          </w:r>
          <w:r>
            <w:rPr>
              <w:rFonts w:eastAsiaTheme="minorEastAsia"/>
              <w:b w:val="0"/>
              <w:bCs w:val="0"/>
              <w:i w:val="0"/>
              <w:iCs w:val="0"/>
              <w:sz w:val="21"/>
            </w:rPr>
            <w:tab/>
          </w:r>
          <w:r>
            <w:rPr>
              <w:rStyle w:val="17"/>
              <w:shd w:val="clear" w:color="auto" w:fill="FFFFFF"/>
            </w:rPr>
            <w:t>预约送货状态图</w:t>
          </w:r>
          <w:r>
            <w:tab/>
          </w:r>
          <w:r>
            <w:fldChar w:fldCharType="begin"/>
          </w:r>
          <w:r>
            <w:instrText xml:space="preserve"> PAGEREF _Toc73088973 \h </w:instrText>
          </w:r>
          <w:r>
            <w:fldChar w:fldCharType="separate"/>
          </w:r>
          <w:r>
            <w:t>12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"_Toc73088974" </w:instrText>
          </w:r>
          <w:r>
            <w:fldChar w:fldCharType="separate"/>
          </w:r>
          <w:r>
            <w:rPr>
              <w:rStyle w:val="17"/>
            </w:rPr>
            <w:t>5</w:t>
          </w:r>
          <w:r>
            <w:rPr>
              <w:rFonts w:eastAsiaTheme="minorEastAsia"/>
              <w:b w:val="0"/>
              <w:bCs w:val="0"/>
              <w:i w:val="0"/>
              <w:iCs w:val="0"/>
              <w:sz w:val="21"/>
            </w:rPr>
            <w:tab/>
          </w:r>
          <w:r>
            <w:rPr>
              <w:rStyle w:val="17"/>
              <w:shd w:val="clear" w:color="auto" w:fill="FFFFFF"/>
            </w:rPr>
            <w:t>其他需求</w:t>
          </w:r>
          <w:r>
            <w:tab/>
          </w:r>
          <w:r>
            <w:fldChar w:fldCharType="begin"/>
          </w:r>
          <w:r>
            <w:instrText xml:space="preserve"> PAGEREF _Toc73088974 \h </w:instrText>
          </w:r>
          <w:r>
            <w:fldChar w:fldCharType="separate"/>
          </w:r>
          <w:r>
            <w:t>12</w:t>
          </w:r>
          <w:r>
            <w:fldChar w:fldCharType="end"/>
          </w:r>
          <w:r>
            <w:fldChar w:fldCharType="end"/>
          </w:r>
        </w:p>
        <w:p>
          <w:pPr>
            <w:pStyle w:val="9"/>
            <w:tabs>
              <w:tab w:val="left" w:pos="420"/>
              <w:tab w:val="right" w:leader="dot" w:pos="8296"/>
            </w:tabs>
            <w:rPr>
              <w:rFonts w:eastAsiaTheme="minorEastAsia"/>
              <w:b w:val="0"/>
              <w:bCs w:val="0"/>
              <w:i w:val="0"/>
              <w:iCs w:val="0"/>
              <w:sz w:val="21"/>
            </w:rPr>
          </w:pPr>
          <w:r>
            <w:fldChar w:fldCharType="begin"/>
          </w:r>
          <w:r>
            <w:instrText xml:space="preserve"> HYPERLINK \l "_Toc73088975" </w:instrText>
          </w:r>
          <w:r>
            <w:fldChar w:fldCharType="separate"/>
          </w:r>
          <w:r>
            <w:rPr>
              <w:rStyle w:val="17"/>
            </w:rPr>
            <w:t>6</w:t>
          </w:r>
          <w:r>
            <w:rPr>
              <w:rFonts w:eastAsiaTheme="minorEastAsia"/>
              <w:b w:val="0"/>
              <w:bCs w:val="0"/>
              <w:i w:val="0"/>
              <w:iCs w:val="0"/>
              <w:sz w:val="21"/>
            </w:rPr>
            <w:tab/>
          </w:r>
          <w:r>
            <w:rPr>
              <w:rStyle w:val="17"/>
              <w:shd w:val="clear" w:color="auto" w:fill="FFFFFF"/>
            </w:rPr>
            <w:t>进一步确认单问题</w:t>
          </w:r>
          <w:r>
            <w:tab/>
          </w:r>
          <w:r>
            <w:fldChar w:fldCharType="begin"/>
          </w:r>
          <w:r>
            <w:instrText xml:space="preserve"> PAGEREF _Toc73088975 \h </w:instrText>
          </w:r>
          <w:r>
            <w:fldChar w:fldCharType="separate"/>
          </w:r>
          <w:r>
            <w:t>15</w:t>
          </w:r>
          <w:r>
            <w:fldChar w:fldCharType="end"/>
          </w:r>
          <w:r>
            <w:fldChar w:fldCharType="end"/>
          </w:r>
        </w:p>
        <w:p>
          <w:pPr>
            <w:pStyle w:val="22"/>
            <w:tabs>
              <w:tab w:val="right" w:leader="dot" w:pos="8306"/>
            </w:tabs>
          </w:pPr>
          <w:r>
            <w:fldChar w:fldCharType="end"/>
          </w:r>
        </w:p>
        <w:p>
          <w:pPr>
            <w:pStyle w:val="22"/>
            <w:tabs>
              <w:tab w:val="right" w:leader="dot" w:pos="8306"/>
            </w:tabs>
          </w:pPr>
        </w:p>
      </w:sdtContent>
    </w:sdt>
    <w:p>
      <w:pPr>
        <w:pStyle w:val="2"/>
        <w:numPr>
          <w:ilvl w:val="0"/>
          <w:numId w:val="1"/>
        </w:numPr>
        <w:rPr>
          <w:shd w:val="clear" w:color="auto" w:fill="FFFFFF"/>
        </w:rPr>
      </w:pPr>
      <w:bookmarkStart w:id="2" w:name="_Toc73088960"/>
      <w:bookmarkStart w:id="3" w:name="_Toc1289722979_WPSOffice_Level1"/>
      <w:r>
        <w:rPr>
          <w:rFonts w:hint="eastAsia"/>
          <w:shd w:val="clear" w:color="auto" w:fill="FFFFFF"/>
        </w:rPr>
        <w:t>项目背景</w:t>
      </w:r>
      <w:bookmarkEnd w:id="2"/>
      <w:bookmarkEnd w:id="3"/>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英荣物流成立于2004年，位于中国宁波北仑港区，注册资本人民币250万元，致力于仓储及仓库管理服务。位于宁波梅山保税港区的新一代仓库将于2010年投入运营，仓库面积2万平方。</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GIFI：吉飞(宁波)国际贸易有限公司是一家由法国GIFI连锁百货集团投资的外贸公司，从事除食品外的大部分超市产品出口，主要包括季节性产品，家居产品，家居装饰品，清洁及储物系列，餐桌用品，休闲用品和个人随身用品等。公司成立于2008年，现位于宁波市江东区，有40多名员工，公司总面积约900平方米。</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GIFI作为英荣物流重要的客户，每天将其面向国内工厂采购的商品订单，其中订单数约几十单、存储空间约1</w:t>
      </w:r>
      <w:r>
        <w:rPr>
          <w:rFonts w:ascii="微软雅黑" w:hAnsi="微软雅黑" w:eastAsia="微软雅黑" w:cs="宋体"/>
          <w:kern w:val="0"/>
          <w:sz w:val="24"/>
          <w:shd w:val="clear" w:color="auto" w:fill="FFFFFF"/>
        </w:rPr>
        <w:t>000</w:t>
      </w:r>
      <w:r>
        <w:rPr>
          <w:rFonts w:hint="eastAsia" w:ascii="微软雅黑" w:hAnsi="微软雅黑" w:eastAsia="微软雅黑" w:cs="宋体"/>
          <w:kern w:val="0"/>
          <w:sz w:val="24"/>
          <w:shd w:val="clear" w:color="auto" w:fill="FFFFFF"/>
        </w:rPr>
        <w:t>平方，按固定PDF格式邮件发送给英荣物流，英荣物流根据订单信息，组织安排国内工厂将订单商品送至其梅山保税区仓库，并要求工厂提供订单对应的报关资料文件。现在阶段该业务由多人，各自使用excel方式完成。目前的处理方式，无论是效率，实时性以及实际客户体验方面都存在较大的缺陷。</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因此，提出开发英荣物流进区预约系统，通过订单管理、上传下载报关表格、送货管理、派车管理、工厂管理以及系统管理等功能，为工厂，仓库、司机等多重角色提供GIFI订单商品进区（仓库）前的一站式预约服务。该系统等上线使用，将有助提升GIFI订单商品进区效率，提高进区和仓库使用效率，降低仓库运营成本，提升客户、工厂等体验和满意度。</w:t>
      </w:r>
    </w:p>
    <w:p>
      <w:pPr>
        <w:pStyle w:val="2"/>
        <w:numPr>
          <w:ilvl w:val="0"/>
          <w:numId w:val="1"/>
        </w:numPr>
        <w:rPr>
          <w:shd w:val="clear" w:color="auto" w:fill="FFFFFF"/>
        </w:rPr>
      </w:pPr>
      <w:bookmarkStart w:id="4" w:name="_Toc73088961"/>
      <w:bookmarkStart w:id="5" w:name="_Toc218465931_WPSOffice_Level1"/>
      <w:r>
        <w:rPr>
          <w:rFonts w:hint="eastAsia"/>
          <w:shd w:val="clear" w:color="auto" w:fill="FFFFFF"/>
        </w:rPr>
        <w:t>总体业务流程</w:t>
      </w:r>
      <w:bookmarkEnd w:id="4"/>
      <w:bookmarkEnd w:id="5"/>
    </w:p>
    <w:p>
      <w:pPr>
        <w:jc w:val="center"/>
      </w:pPr>
      <w:r>
        <w:drawing>
          <wp:inline distT="0" distB="0" distL="0" distR="0">
            <wp:extent cx="4665980" cy="777621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679872" cy="7799787"/>
                    </a:xfrm>
                    <a:prstGeom prst="rect">
                      <a:avLst/>
                    </a:prstGeom>
                  </pic:spPr>
                </pic:pic>
              </a:graphicData>
            </a:graphic>
          </wp:inline>
        </w:drawing>
      </w:r>
    </w:p>
    <w:p>
      <w:pPr>
        <w:jc w:val="center"/>
      </w:pPr>
    </w:p>
    <w:p>
      <w:pPr>
        <w:pStyle w:val="2"/>
        <w:numPr>
          <w:ilvl w:val="0"/>
          <w:numId w:val="1"/>
        </w:numPr>
      </w:pPr>
      <w:bookmarkStart w:id="6" w:name="_Toc1707349594_WPSOffice_Level1"/>
      <w:bookmarkStart w:id="7" w:name="_Toc73088962"/>
      <w:r>
        <w:rPr>
          <w:rFonts w:hint="eastAsia"/>
        </w:rPr>
        <w:t>系统边界</w:t>
      </w:r>
      <w:bookmarkEnd w:id="6"/>
      <w:bookmarkEnd w:id="7"/>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优力人员从GIFI系统上导出Excel的订单，再将该订单导入到预约系统上，供应商在预约系统补充订单详细信息，填写报关资料，上传并提交后，关务人员审核通过后，供应商再进行预约送货等操作，系统将关键节点的状态信息推送给相应人员。</w:t>
      </w:r>
    </w:p>
    <w:p>
      <w:pPr>
        <w:jc w:val="center"/>
        <w:rPr>
          <w:sz w:val="24"/>
        </w:rPr>
      </w:pPr>
      <w:r>
        <w:rPr>
          <w:sz w:val="24"/>
        </w:rPr>
        <w:drawing>
          <wp:inline distT="0" distB="0" distL="0" distR="0">
            <wp:extent cx="3985895" cy="2059305"/>
            <wp:effectExtent l="0" t="0" r="1905" b="0"/>
            <wp:docPr id="2" name="图片 2"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90924" cy="2061977"/>
                    </a:xfrm>
                    <a:prstGeom prst="rect">
                      <a:avLst/>
                    </a:prstGeom>
                  </pic:spPr>
                </pic:pic>
              </a:graphicData>
            </a:graphic>
          </wp:inline>
        </w:drawing>
      </w:r>
    </w:p>
    <w:p/>
    <w:p>
      <w:r>
        <w:t>E</w:t>
      </w:r>
      <w:r>
        <w:rPr>
          <w:rFonts w:hint="eastAsia"/>
        </w:rPr>
        <w:t>xcel的表格信息包括：</w:t>
      </w:r>
    </w:p>
    <w:p>
      <w:pPr>
        <w:pStyle w:val="2"/>
        <w:numPr>
          <w:ilvl w:val="0"/>
          <w:numId w:val="1"/>
        </w:numPr>
        <w:rPr>
          <w:shd w:val="clear" w:color="auto" w:fill="FFFFFF"/>
        </w:rPr>
      </w:pPr>
      <w:bookmarkStart w:id="8" w:name="_Toc73088963"/>
      <w:bookmarkStart w:id="9" w:name="_Toc748135144_WPSOffice_Level1"/>
      <w:r>
        <w:rPr>
          <w:rFonts w:hint="eastAsia"/>
          <w:shd w:val="clear" w:color="auto" w:fill="FFFFFF"/>
        </w:rPr>
        <w:t>系统功能性需求</w:t>
      </w:r>
      <w:bookmarkEnd w:id="8"/>
      <w:bookmarkEnd w:id="9"/>
    </w:p>
    <w:p>
      <w:pPr>
        <w:pStyle w:val="2"/>
        <w:numPr>
          <w:ilvl w:val="1"/>
          <w:numId w:val="1"/>
        </w:numPr>
        <w:rPr>
          <w:shd w:val="clear" w:color="auto" w:fill="FFFFFF"/>
        </w:rPr>
      </w:pPr>
      <w:bookmarkStart w:id="10" w:name="_Toc218465931_WPSOffice_Level2"/>
      <w:bookmarkStart w:id="11" w:name="_Toc73088964"/>
      <w:r>
        <w:rPr>
          <w:rFonts w:hint="eastAsia"/>
          <w:shd w:val="clear" w:color="auto" w:fill="FFFFFF"/>
        </w:rPr>
        <w:t>系统角色定义</w:t>
      </w:r>
      <w:bookmarkEnd w:id="10"/>
      <w:bookmarkEnd w:id="11"/>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5"/>
        <w:gridCol w:w="1585"/>
        <w:gridCol w:w="1638"/>
        <w:gridCol w:w="3618"/>
      </w:tblGrid>
      <w:tr>
        <w:tc>
          <w:tcPr>
            <w:tcW w:w="1455" w:type="dxa"/>
          </w:tcPr>
          <w:p>
            <w:pPr>
              <w:rPr>
                <w:b/>
                <w:bCs/>
              </w:rPr>
            </w:pPr>
            <w:r>
              <w:rPr>
                <w:rFonts w:hint="eastAsia"/>
                <w:b/>
                <w:bCs/>
              </w:rPr>
              <w:t>单位</w:t>
            </w:r>
          </w:p>
        </w:tc>
        <w:tc>
          <w:tcPr>
            <w:tcW w:w="1585" w:type="dxa"/>
          </w:tcPr>
          <w:p>
            <w:pPr>
              <w:rPr>
                <w:b/>
                <w:bCs/>
              </w:rPr>
            </w:pPr>
            <w:r>
              <w:rPr>
                <w:rFonts w:hint="eastAsia"/>
                <w:b/>
                <w:bCs/>
              </w:rPr>
              <w:t>类型</w:t>
            </w:r>
          </w:p>
        </w:tc>
        <w:tc>
          <w:tcPr>
            <w:tcW w:w="1638" w:type="dxa"/>
          </w:tcPr>
          <w:p>
            <w:pPr>
              <w:rPr>
                <w:b/>
                <w:bCs/>
              </w:rPr>
            </w:pPr>
            <w:r>
              <w:rPr>
                <w:rFonts w:hint="eastAsia"/>
                <w:b/>
                <w:bCs/>
              </w:rPr>
              <w:t>角色</w:t>
            </w:r>
          </w:p>
        </w:tc>
        <w:tc>
          <w:tcPr>
            <w:tcW w:w="3618" w:type="dxa"/>
          </w:tcPr>
          <w:p>
            <w:pPr>
              <w:rPr>
                <w:b/>
                <w:bCs/>
              </w:rPr>
            </w:pPr>
          </w:p>
        </w:tc>
      </w:tr>
      <w:tr>
        <w:tc>
          <w:tcPr>
            <w:tcW w:w="1455" w:type="dxa"/>
            <w:vMerge w:val="restart"/>
          </w:tcPr>
          <w:p>
            <w:r>
              <w:rPr>
                <w:rFonts w:hint="eastAsia"/>
              </w:rPr>
              <w:t>仓库</w:t>
            </w:r>
          </w:p>
          <w:p>
            <w:r>
              <w:rPr>
                <w:rFonts w:hint="eastAsia"/>
              </w:rPr>
              <w:t>（英荣物流）</w:t>
            </w:r>
          </w:p>
        </w:tc>
        <w:tc>
          <w:tcPr>
            <w:tcW w:w="1585" w:type="dxa"/>
            <w:vMerge w:val="restart"/>
          </w:tcPr>
          <w:p>
            <w:r>
              <w:rPr>
                <w:rFonts w:hint="eastAsia"/>
              </w:rPr>
              <w:t>内部</w:t>
            </w:r>
          </w:p>
        </w:tc>
        <w:tc>
          <w:tcPr>
            <w:tcW w:w="1638" w:type="dxa"/>
          </w:tcPr>
          <w:p>
            <w:r>
              <w:rPr>
                <w:rFonts w:hint="eastAsia"/>
              </w:rPr>
              <w:t>操作员</w:t>
            </w:r>
          </w:p>
        </w:tc>
        <w:tc>
          <w:tcPr>
            <w:tcW w:w="3618" w:type="dxa"/>
          </w:tcPr>
          <w:p>
            <w:pPr>
              <w:widowControl/>
              <w:jc w:val="left"/>
            </w:pPr>
            <w:r>
              <w:rPr>
                <w:rFonts w:hint="eastAsia"/>
              </w:rPr>
              <w:t>负责所有订单，工厂，预约送货，审核，确认收货，以及报关模版文件的管理。</w:t>
            </w:r>
          </w:p>
        </w:tc>
      </w:tr>
      <w:tr>
        <w:tc>
          <w:tcPr>
            <w:tcW w:w="1455" w:type="dxa"/>
            <w:vMerge w:val="continue"/>
          </w:tcPr>
          <w:p/>
        </w:tc>
        <w:tc>
          <w:tcPr>
            <w:tcW w:w="1585" w:type="dxa"/>
            <w:vMerge w:val="continue"/>
          </w:tcPr>
          <w:p/>
        </w:tc>
        <w:tc>
          <w:tcPr>
            <w:tcW w:w="1638" w:type="dxa"/>
          </w:tcPr>
          <w:p>
            <w:r>
              <w:rPr>
                <w:rFonts w:hint="eastAsia"/>
              </w:rPr>
              <w:t>系统管理员</w:t>
            </w:r>
          </w:p>
        </w:tc>
        <w:tc>
          <w:tcPr>
            <w:tcW w:w="3618" w:type="dxa"/>
          </w:tcPr>
          <w:p>
            <w:r>
              <w:rPr>
                <w:rFonts w:hint="eastAsia"/>
              </w:rPr>
              <w:t>负责系统角色、用户等系统维护操作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pPr>
              <w:rPr>
                <w:b/>
                <w:bCs/>
              </w:rPr>
            </w:pPr>
            <w:r>
              <w:rPr>
                <w:rFonts w:hint="eastAsia"/>
              </w:rPr>
              <w:t>客户GIFI</w:t>
            </w:r>
          </w:p>
        </w:tc>
        <w:tc>
          <w:tcPr>
            <w:tcW w:w="1585" w:type="dxa"/>
            <w:vMerge w:val="restart"/>
          </w:tcPr>
          <w:p>
            <w:pPr>
              <w:rPr>
                <w:b/>
                <w:bCs/>
              </w:rPr>
            </w:pPr>
            <w:r>
              <w:rPr>
                <w:rFonts w:hint="eastAsia"/>
              </w:rPr>
              <w:t>外部</w:t>
            </w:r>
          </w:p>
        </w:tc>
        <w:tc>
          <w:tcPr>
            <w:tcW w:w="1638" w:type="dxa"/>
          </w:tcPr>
          <w:p>
            <w:pPr>
              <w:rPr>
                <w:b/>
                <w:bCs/>
              </w:rPr>
            </w:pPr>
            <w:r>
              <w:rPr>
                <w:rFonts w:hint="eastAsia"/>
                <w:b/>
                <w:bCs/>
              </w:rPr>
              <w:t>优力</w:t>
            </w:r>
          </w:p>
        </w:tc>
        <w:tc>
          <w:tcPr>
            <w:tcW w:w="3618" w:type="dxa"/>
          </w:tcPr>
          <w:p>
            <w:pPr>
              <w:rPr>
                <w:b/>
                <w:bCs/>
              </w:rPr>
            </w:pPr>
            <w:r>
              <w:rPr>
                <w:rFonts w:hint="eastAsia"/>
              </w:rPr>
              <w:t>负责从GIFI系统导出excel固定格式的订单数据，并导入本系统。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r>
              <w:rPr>
                <w:rFonts w:hint="eastAsia"/>
              </w:rPr>
              <w:t>供应商</w:t>
            </w:r>
          </w:p>
        </w:tc>
        <w:tc>
          <w:tcPr>
            <w:tcW w:w="1585" w:type="dxa"/>
            <w:vMerge w:val="continue"/>
          </w:tcPr>
          <w:p/>
        </w:tc>
        <w:tc>
          <w:tcPr>
            <w:tcW w:w="1638" w:type="dxa"/>
          </w:tcPr>
          <w:p>
            <w:r>
              <w:rPr>
                <w:rFonts w:hint="eastAsia"/>
              </w:rPr>
              <w:t>工厂</w:t>
            </w:r>
          </w:p>
        </w:tc>
        <w:tc>
          <w:tcPr>
            <w:tcW w:w="3618" w:type="dxa"/>
          </w:tcPr>
          <w:p>
            <w:pPr>
              <w:widowControl/>
              <w:jc w:val="left"/>
            </w:pPr>
            <w:r>
              <w:rPr>
                <w:rFonts w:hint="eastAsia"/>
              </w:rPr>
              <w:t>负责订单基本信息，报关资料，完善报关资料，预约送货，产品信息等维护操作。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5" w:type="dxa"/>
          </w:tcPr>
          <w:p>
            <w:r>
              <w:rPr>
                <w:rFonts w:hint="eastAsia"/>
              </w:rPr>
              <w:t>关务机构</w:t>
            </w:r>
          </w:p>
        </w:tc>
        <w:tc>
          <w:tcPr>
            <w:tcW w:w="1585" w:type="dxa"/>
            <w:vMerge w:val="continue"/>
          </w:tcPr>
          <w:p/>
        </w:tc>
        <w:tc>
          <w:tcPr>
            <w:tcW w:w="1638" w:type="dxa"/>
          </w:tcPr>
          <w:p>
            <w:r>
              <w:rPr>
                <w:rFonts w:hint="eastAsia"/>
              </w:rPr>
              <w:t>关务</w:t>
            </w:r>
          </w:p>
        </w:tc>
        <w:tc>
          <w:tcPr>
            <w:tcW w:w="3618" w:type="dxa"/>
          </w:tcPr>
          <w:p>
            <w:r>
              <w:rPr>
                <w:rFonts w:hint="eastAsia"/>
              </w:rPr>
              <w:t>负责审核订单的报关信息。</w:t>
            </w:r>
          </w:p>
        </w:tc>
      </w:tr>
    </w:tbl>
    <w:p/>
    <w:p>
      <w:pPr>
        <w:pStyle w:val="2"/>
        <w:numPr>
          <w:ilvl w:val="1"/>
          <w:numId w:val="1"/>
        </w:numPr>
        <w:rPr>
          <w:shd w:val="clear" w:color="auto" w:fill="FFFFFF"/>
        </w:rPr>
      </w:pPr>
      <w:bookmarkStart w:id="12" w:name="_Toc1707349594_WPSOffice_Level2"/>
      <w:bookmarkStart w:id="13" w:name="_Toc73088965"/>
      <w:r>
        <w:rPr>
          <w:rFonts w:hint="eastAsia"/>
          <w:shd w:val="clear" w:color="auto" w:fill="FFFFFF"/>
        </w:rPr>
        <w:t>功能模块划分</w:t>
      </w:r>
      <w:bookmarkEnd w:id="12"/>
      <w:bookmarkEnd w:id="13"/>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系统功能包括订单管理、报关资料、预约送货、产品管理、供应商管理、文件管理、个人信息维护以及系统管理八大功能模块。</w:t>
      </w:r>
    </w:p>
    <w:tbl>
      <w:tblPr>
        <w:tblStyle w:val="19"/>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1417"/>
        <w:gridCol w:w="1560"/>
        <w:gridCol w:w="3906"/>
      </w:tblGrid>
      <w:tr>
        <w:tc>
          <w:tcPr>
            <w:tcW w:w="1134" w:type="dxa"/>
          </w:tcPr>
          <w:p>
            <w:pPr>
              <w:rPr>
                <w:b/>
                <w:bCs/>
              </w:rPr>
            </w:pPr>
            <w:r>
              <w:rPr>
                <w:rFonts w:hint="eastAsia"/>
                <w:b/>
                <w:bCs/>
              </w:rPr>
              <w:t>模块</w:t>
            </w:r>
          </w:p>
        </w:tc>
        <w:tc>
          <w:tcPr>
            <w:tcW w:w="1417" w:type="dxa"/>
          </w:tcPr>
          <w:p>
            <w:pPr>
              <w:rPr>
                <w:b/>
                <w:bCs/>
              </w:rPr>
            </w:pPr>
            <w:r>
              <w:rPr>
                <w:rFonts w:hint="eastAsia"/>
                <w:b/>
                <w:bCs/>
              </w:rPr>
              <w:t>子模块</w:t>
            </w:r>
          </w:p>
        </w:tc>
        <w:tc>
          <w:tcPr>
            <w:tcW w:w="1560" w:type="dxa"/>
          </w:tcPr>
          <w:p>
            <w:pPr>
              <w:rPr>
                <w:b/>
                <w:bCs/>
              </w:rPr>
            </w:pPr>
            <w:r>
              <w:rPr>
                <w:rFonts w:hint="eastAsia"/>
                <w:b/>
                <w:bCs/>
              </w:rPr>
              <w:t>功能</w:t>
            </w:r>
          </w:p>
        </w:tc>
        <w:tc>
          <w:tcPr>
            <w:tcW w:w="3906" w:type="dxa"/>
          </w:tcPr>
          <w:p>
            <w:pPr>
              <w:rPr>
                <w:b/>
                <w:bCs/>
              </w:rPr>
            </w:pPr>
          </w:p>
        </w:tc>
      </w:tr>
      <w:tr>
        <w:tc>
          <w:tcPr>
            <w:tcW w:w="1134" w:type="dxa"/>
            <w:vMerge w:val="restart"/>
          </w:tcPr>
          <w:p>
            <w:r>
              <w:rPr>
                <w:rFonts w:hint="eastAsia"/>
              </w:rPr>
              <w:t>订单管理</w:t>
            </w:r>
          </w:p>
        </w:tc>
        <w:tc>
          <w:tcPr>
            <w:tcW w:w="1417" w:type="dxa"/>
            <w:vMerge w:val="restart"/>
          </w:tcPr>
          <w:p>
            <w:r>
              <w:rPr>
                <w:rFonts w:hint="eastAsia"/>
              </w:rPr>
              <w:t>订单列表</w:t>
            </w:r>
          </w:p>
        </w:tc>
        <w:tc>
          <w:tcPr>
            <w:tcW w:w="1560" w:type="dxa"/>
          </w:tcPr>
          <w:p>
            <w:r>
              <w:rPr>
                <w:rFonts w:hint="eastAsia"/>
              </w:rPr>
              <w:t>导入</w:t>
            </w:r>
          </w:p>
        </w:tc>
        <w:tc>
          <w:tcPr>
            <w:tcW w:w="3906" w:type="dxa"/>
          </w:tcPr>
          <w:p/>
        </w:tc>
      </w:tr>
      <w:tr>
        <w:tc>
          <w:tcPr>
            <w:tcW w:w="1134" w:type="dxa"/>
            <w:vMerge w:val="continue"/>
          </w:tcPr>
          <w:p/>
        </w:tc>
        <w:tc>
          <w:tcPr>
            <w:tcW w:w="1417" w:type="dxa"/>
            <w:vMerge w:val="continue"/>
          </w:tcPr>
          <w:p/>
        </w:tc>
        <w:tc>
          <w:tcPr>
            <w:tcW w:w="1560" w:type="dxa"/>
          </w:tcPr>
          <w:p>
            <w:r>
              <w:rPr>
                <w:rFonts w:hint="eastAsia"/>
              </w:rPr>
              <w:t>查询</w:t>
            </w:r>
          </w:p>
        </w:tc>
        <w:tc>
          <w:tcPr>
            <w:tcW w:w="3906" w:type="dxa"/>
          </w:tcPr>
          <w:p/>
        </w:tc>
      </w:tr>
      <w:tr>
        <w:tc>
          <w:tcPr>
            <w:tcW w:w="1134" w:type="dxa"/>
            <w:vMerge w:val="continue"/>
          </w:tcPr>
          <w:p/>
        </w:tc>
        <w:tc>
          <w:tcPr>
            <w:tcW w:w="1417" w:type="dxa"/>
            <w:vMerge w:val="continue"/>
          </w:tcPr>
          <w:p/>
        </w:tc>
        <w:tc>
          <w:tcPr>
            <w:tcW w:w="1560" w:type="dxa"/>
          </w:tcPr>
          <w:p>
            <w:r>
              <w:rPr>
                <w:rFonts w:hint="eastAsia"/>
              </w:rPr>
              <w:t>删除</w:t>
            </w:r>
          </w:p>
        </w:tc>
        <w:tc>
          <w:tcPr>
            <w:tcW w:w="3906" w:type="dxa"/>
          </w:tcPr>
          <w:p>
            <w:r>
              <w:rPr>
                <w:rFonts w:hint="eastAsia"/>
              </w:rPr>
              <w:t>导入出错，还未做处理的</w:t>
            </w:r>
          </w:p>
        </w:tc>
      </w:tr>
      <w:tr>
        <w:tc>
          <w:tcPr>
            <w:tcW w:w="1134" w:type="dxa"/>
            <w:vMerge w:val="continue"/>
          </w:tcPr>
          <w:p/>
        </w:tc>
        <w:tc>
          <w:tcPr>
            <w:tcW w:w="1417" w:type="dxa"/>
            <w:vMerge w:val="continue"/>
          </w:tcPr>
          <w:p/>
        </w:tc>
        <w:tc>
          <w:tcPr>
            <w:tcW w:w="1560" w:type="dxa"/>
          </w:tcPr>
          <w:p>
            <w:r>
              <w:rPr>
                <w:rFonts w:hint="eastAsia"/>
              </w:rPr>
              <w:t>修改</w:t>
            </w:r>
          </w:p>
        </w:tc>
        <w:tc>
          <w:tcPr>
            <w:tcW w:w="3906" w:type="dxa"/>
          </w:tcPr>
          <w:p>
            <w:r>
              <w:rPr>
                <w:rFonts w:hint="eastAsia"/>
              </w:rPr>
              <w:t>完善订单明细详细信息：</w:t>
            </w:r>
          </w:p>
          <w:p>
            <w:r>
              <w:rPr>
                <w:rFonts w:hint="eastAsia"/>
              </w:rPr>
              <w:t>件数、体积、qty（quantity）都要确认，三者之间的计算公式是固定的，不同商品qty不同，</w:t>
            </w:r>
          </w:p>
        </w:tc>
      </w:tr>
      <w:tr>
        <w:tc>
          <w:tcPr>
            <w:tcW w:w="1134" w:type="dxa"/>
            <w:vMerge w:val="continue"/>
          </w:tcPr>
          <w:p/>
        </w:tc>
        <w:tc>
          <w:tcPr>
            <w:tcW w:w="1417" w:type="dxa"/>
            <w:vMerge w:val="continue"/>
          </w:tcPr>
          <w:p/>
        </w:tc>
        <w:tc>
          <w:tcPr>
            <w:tcW w:w="1560" w:type="dxa"/>
          </w:tcPr>
          <w:p>
            <w:r>
              <w:rPr>
                <w:rFonts w:hint="eastAsia"/>
              </w:rPr>
              <w:t>导出订单明细</w:t>
            </w:r>
          </w:p>
        </w:tc>
        <w:tc>
          <w:tcPr>
            <w:tcW w:w="3906" w:type="dxa"/>
          </w:tcPr>
          <w:p>
            <w:r>
              <w:rPr>
                <w:rFonts w:hint="eastAsia"/>
              </w:rPr>
              <w:t>线下完善订单明细数据</w:t>
            </w:r>
          </w:p>
        </w:tc>
      </w:tr>
      <w:tr>
        <w:tc>
          <w:tcPr>
            <w:tcW w:w="1134" w:type="dxa"/>
            <w:vMerge w:val="continue"/>
          </w:tcPr>
          <w:p/>
        </w:tc>
        <w:tc>
          <w:tcPr>
            <w:tcW w:w="1417" w:type="dxa"/>
            <w:vMerge w:val="continue"/>
          </w:tcPr>
          <w:p/>
        </w:tc>
        <w:tc>
          <w:tcPr>
            <w:tcW w:w="1560" w:type="dxa"/>
          </w:tcPr>
          <w:p>
            <w:r>
              <w:rPr>
                <w:rFonts w:hint="eastAsia"/>
              </w:rPr>
              <w:t>导入订单明细</w:t>
            </w:r>
          </w:p>
        </w:tc>
        <w:tc>
          <w:tcPr>
            <w:tcW w:w="3906" w:type="dxa"/>
          </w:tcPr>
          <w:p>
            <w:r>
              <w:rPr>
                <w:rFonts w:hint="eastAsia"/>
              </w:rPr>
              <w:t>将完善的订单明细数据导入，并做自动处理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导出报表</w:t>
            </w:r>
          </w:p>
        </w:tc>
        <w:tc>
          <w:tcPr>
            <w:tcW w:w="3906" w:type="dxa"/>
          </w:tcPr>
          <w:p>
            <w:r>
              <w:rPr>
                <w:rFonts w:hint="eastAsia"/>
              </w:rPr>
              <w:t>按指定格式导出报表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r>
              <w:rPr>
                <w:rFonts w:hint="eastAsia"/>
              </w:rPr>
              <w:t>可查看订单对应的报关资料，预约送货信息，订单状态日志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restart"/>
          </w:tcPr>
          <w:p>
            <w:r>
              <w:rPr>
                <w:rFonts w:hint="eastAsia"/>
              </w:rPr>
              <w:t>导入日志</w:t>
            </w: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vMerge w:val="continue"/>
          </w:tcPr>
          <w:p/>
        </w:tc>
        <w:tc>
          <w:tcPr>
            <w:tcW w:w="1560" w:type="dxa"/>
          </w:tcPr>
          <w:p>
            <w:r>
              <w:rPr>
                <w:rFonts w:hint="eastAsia"/>
              </w:rPr>
              <w:t>下载</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报关资料</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审核</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下载报关资料</w:t>
            </w:r>
          </w:p>
        </w:tc>
        <w:tc>
          <w:tcPr>
            <w:tcW w:w="3906" w:type="dxa"/>
          </w:tcPr>
          <w:p>
            <w:pPr>
              <w:numPr>
                <w:ilvl w:val="0"/>
                <w:numId w:val="2"/>
              </w:numPr>
            </w:pPr>
            <w:r>
              <w:rPr>
                <w:rFonts w:hint="eastAsia"/>
                <w:lang w:eastAsia="zh-Hans"/>
              </w:rPr>
              <w:t>报关资料分为两部分</w:t>
            </w:r>
          </w:p>
          <w:p>
            <w:pPr>
              <w:numPr>
                <w:ilvl w:val="1"/>
                <w:numId w:val="2"/>
              </w:numPr>
            </w:pPr>
            <w:r>
              <w:rPr>
                <w:rFonts w:hint="eastAsia"/>
              </w:rPr>
              <w:t>固定报关资料（所有订单都应该有的）</w:t>
            </w:r>
          </w:p>
          <w:p>
            <w:pPr>
              <w:numPr>
                <w:ilvl w:val="1"/>
                <w:numId w:val="2"/>
              </w:numPr>
            </w:pPr>
            <w:r>
              <w:rPr>
                <w:rFonts w:hint="eastAsia"/>
              </w:rPr>
              <w:t>其他资料（如针对商检货物等特殊货物，可以是jpg、pdf等格式文件都可以）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上传报关资料</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导出</w:t>
            </w:r>
          </w:p>
        </w:tc>
        <w:tc>
          <w:tcPr>
            <w:tcW w:w="3906" w:type="dxa"/>
          </w:tcPr>
          <w:p>
            <w:r>
              <w:rPr>
                <w:rFonts w:hint="eastAsia"/>
              </w:rPr>
              <w:t>按关务系统格式导出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预约送货</w:t>
            </w:r>
          </w:p>
        </w:tc>
        <w:tc>
          <w:tcPr>
            <w:tcW w:w="1417" w:type="dxa"/>
          </w:tcPr>
          <w:p/>
        </w:tc>
        <w:tc>
          <w:tcPr>
            <w:tcW w:w="1560" w:type="dxa"/>
          </w:tcPr>
          <w:p>
            <w:r>
              <w:rPr>
                <w:rFonts w:hint="eastAsia"/>
              </w:rPr>
              <w:t>新增</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pPr>
              <w:rPr>
                <w:rFonts w:hint="eastAsia"/>
              </w:rPr>
            </w:pPr>
            <w:r>
              <w:rPr>
                <w:rFonts w:hint="eastAsia"/>
              </w:rPr>
              <w:t>受理</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审核</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导出进仓单</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打印进仓单</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详情</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产品维护</w:t>
            </w:r>
          </w:p>
        </w:tc>
        <w:tc>
          <w:tcPr>
            <w:tcW w:w="1417" w:type="dxa"/>
          </w:tcPr>
          <w:p/>
        </w:tc>
        <w:tc>
          <w:tcPr>
            <w:tcW w:w="1560" w:type="dxa"/>
          </w:tcPr>
          <w:p>
            <w:r>
              <w:rPr>
                <w:rFonts w:hint="eastAsia"/>
              </w:rPr>
              <w:t>修改</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continue"/>
          </w:tcPr>
          <w:p/>
        </w:tc>
        <w:tc>
          <w:tcPr>
            <w:tcW w:w="1417" w:type="dxa"/>
          </w:tcPr>
          <w:p/>
        </w:tc>
        <w:tc>
          <w:tcPr>
            <w:tcW w:w="1560" w:type="dxa"/>
          </w:tcPr>
          <w:p>
            <w:r>
              <w:rPr>
                <w:rFonts w:hint="eastAsia"/>
              </w:rPr>
              <w:t>查询</w:t>
            </w:r>
          </w:p>
        </w:tc>
        <w:tc>
          <w:tcPr>
            <w:tcW w:w="390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4" w:type="dxa"/>
            <w:vMerge w:val="restart"/>
          </w:tcPr>
          <w:p>
            <w:r>
              <w:rPr>
                <w:rFonts w:hint="eastAsia"/>
              </w:rPr>
              <w:t>公司管理</w:t>
            </w:r>
          </w:p>
        </w:tc>
        <w:tc>
          <w:tcPr>
            <w:tcW w:w="1417" w:type="dxa"/>
          </w:tcPr>
          <w:p/>
        </w:tc>
        <w:tc>
          <w:tcPr>
            <w:tcW w:w="1560" w:type="dxa"/>
          </w:tcPr>
          <w:p>
            <w:r>
              <w:rPr>
                <w:rFonts w:hint="eastAsia"/>
              </w:rPr>
              <w:t>新增</w:t>
            </w:r>
          </w:p>
        </w:tc>
        <w:tc>
          <w:tcPr>
            <w:tcW w:w="3906" w:type="dxa"/>
          </w:tcPr>
          <w:p>
            <w:pPr>
              <w:rPr>
                <w:rFonts w:hint="eastAsia"/>
              </w:rPr>
            </w:pPr>
            <w:r>
              <w:rPr>
                <w:rFonts w:hint="eastAsia"/>
              </w:rPr>
              <w:t>包括供应商，</w:t>
            </w:r>
            <w:r>
              <w:rPr>
                <w:rFonts w:hint="eastAsia"/>
                <w:lang w:val="en-US" w:eastAsia="zh-Hans"/>
              </w:rPr>
              <w:t>关务和仓库</w:t>
            </w:r>
            <w:r>
              <w:rPr>
                <w:rFonts w:hint="eastAsia"/>
              </w:rPr>
              <w:t>等</w:t>
            </w:r>
          </w:p>
        </w:tc>
      </w:tr>
      <w:tr>
        <w:tc>
          <w:tcPr>
            <w:tcW w:w="1134" w:type="dxa"/>
            <w:vMerge w:val="continue"/>
          </w:tcPr>
          <w:p/>
        </w:tc>
        <w:tc>
          <w:tcPr>
            <w:tcW w:w="1417" w:type="dxa"/>
          </w:tcPr>
          <w:p/>
        </w:tc>
        <w:tc>
          <w:tcPr>
            <w:tcW w:w="1560" w:type="dxa"/>
          </w:tcPr>
          <w:p>
            <w:r>
              <w:rPr>
                <w:rFonts w:hint="eastAsia"/>
              </w:rPr>
              <w:t>修改</w:t>
            </w:r>
          </w:p>
        </w:tc>
        <w:tc>
          <w:tcPr>
            <w:tcW w:w="3906" w:type="dxa"/>
          </w:tcPr>
          <w:p/>
        </w:tc>
      </w:tr>
      <w:tr>
        <w:tc>
          <w:tcPr>
            <w:tcW w:w="1134" w:type="dxa"/>
            <w:vMerge w:val="continue"/>
          </w:tcPr>
          <w:p/>
        </w:tc>
        <w:tc>
          <w:tcPr>
            <w:tcW w:w="1417" w:type="dxa"/>
          </w:tcPr>
          <w:p/>
        </w:tc>
        <w:tc>
          <w:tcPr>
            <w:tcW w:w="1560" w:type="dxa"/>
          </w:tcPr>
          <w:p>
            <w:r>
              <w:rPr>
                <w:rFonts w:hint="eastAsia"/>
              </w:rPr>
              <w:t>查询</w:t>
            </w:r>
          </w:p>
        </w:tc>
        <w:tc>
          <w:tcPr>
            <w:tcW w:w="3906" w:type="dxa"/>
          </w:tcPr>
          <w:p/>
        </w:tc>
      </w:tr>
      <w:tr>
        <w:tc>
          <w:tcPr>
            <w:tcW w:w="1134" w:type="dxa"/>
            <w:vMerge w:val="continue"/>
          </w:tcPr>
          <w:p/>
        </w:tc>
        <w:tc>
          <w:tcPr>
            <w:tcW w:w="1417" w:type="dxa"/>
          </w:tcPr>
          <w:p/>
        </w:tc>
        <w:tc>
          <w:tcPr>
            <w:tcW w:w="1560" w:type="dxa"/>
          </w:tcPr>
          <w:p>
            <w:r>
              <w:rPr>
                <w:rFonts w:hint="eastAsia"/>
              </w:rPr>
              <w:t>注册</w:t>
            </w:r>
          </w:p>
        </w:tc>
        <w:tc>
          <w:tcPr>
            <w:tcW w:w="3906" w:type="dxa"/>
          </w:tcPr>
          <w:p/>
        </w:tc>
      </w:tr>
      <w:tr>
        <w:tc>
          <w:tcPr>
            <w:tcW w:w="1134" w:type="dxa"/>
            <w:vMerge w:val="restart"/>
          </w:tcPr>
          <w:p>
            <w:r>
              <w:rPr>
                <w:rFonts w:hint="eastAsia"/>
              </w:rPr>
              <w:t>文件管理</w:t>
            </w:r>
          </w:p>
        </w:tc>
        <w:tc>
          <w:tcPr>
            <w:tcW w:w="1417" w:type="dxa"/>
          </w:tcPr>
          <w:p/>
        </w:tc>
        <w:tc>
          <w:tcPr>
            <w:tcW w:w="1560" w:type="dxa"/>
          </w:tcPr>
          <w:p>
            <w:r>
              <w:rPr>
                <w:rFonts w:hint="eastAsia"/>
              </w:rPr>
              <w:t>新增</w:t>
            </w:r>
          </w:p>
        </w:tc>
        <w:tc>
          <w:tcPr>
            <w:tcW w:w="3906" w:type="dxa"/>
          </w:tcPr>
          <w:p/>
        </w:tc>
      </w:tr>
      <w:tr>
        <w:tc>
          <w:tcPr>
            <w:tcW w:w="1134" w:type="dxa"/>
            <w:vMerge w:val="continue"/>
          </w:tcPr>
          <w:p/>
        </w:tc>
        <w:tc>
          <w:tcPr>
            <w:tcW w:w="1417" w:type="dxa"/>
          </w:tcPr>
          <w:p/>
        </w:tc>
        <w:tc>
          <w:tcPr>
            <w:tcW w:w="1560" w:type="dxa"/>
          </w:tcPr>
          <w:p>
            <w:r>
              <w:rPr>
                <w:rFonts w:hint="eastAsia"/>
              </w:rPr>
              <w:t>删除</w:t>
            </w:r>
          </w:p>
        </w:tc>
        <w:tc>
          <w:tcPr>
            <w:tcW w:w="3906" w:type="dxa"/>
          </w:tcPr>
          <w:p/>
        </w:tc>
      </w:tr>
      <w:tr>
        <w:tc>
          <w:tcPr>
            <w:tcW w:w="1134" w:type="dxa"/>
          </w:tcPr>
          <w:p>
            <w:r>
              <w:rPr>
                <w:rFonts w:hint="eastAsia"/>
              </w:rPr>
              <w:t>个人信息维护</w:t>
            </w:r>
          </w:p>
        </w:tc>
        <w:tc>
          <w:tcPr>
            <w:tcW w:w="1417" w:type="dxa"/>
          </w:tcPr>
          <w:p/>
        </w:tc>
        <w:tc>
          <w:tcPr>
            <w:tcW w:w="1560" w:type="dxa"/>
          </w:tcPr>
          <w:p>
            <w:r>
              <w:rPr>
                <w:rFonts w:hint="eastAsia"/>
              </w:rPr>
              <w:t>修改密码/基本信息</w:t>
            </w:r>
          </w:p>
        </w:tc>
        <w:tc>
          <w:tcPr>
            <w:tcW w:w="3906" w:type="dxa"/>
          </w:tcPr>
          <w:p/>
        </w:tc>
      </w:tr>
      <w:tr>
        <w:tc>
          <w:tcPr>
            <w:tcW w:w="1134" w:type="dxa"/>
            <w:vMerge w:val="restart"/>
          </w:tcPr>
          <w:p>
            <w:r>
              <w:rPr>
                <w:rFonts w:hint="eastAsia"/>
              </w:rPr>
              <w:t>系统管理</w:t>
            </w:r>
          </w:p>
        </w:tc>
        <w:tc>
          <w:tcPr>
            <w:tcW w:w="1417" w:type="dxa"/>
          </w:tcPr>
          <w:p/>
        </w:tc>
        <w:tc>
          <w:tcPr>
            <w:tcW w:w="1560" w:type="dxa"/>
          </w:tcPr>
          <w:p>
            <w:r>
              <w:rPr>
                <w:rFonts w:hint="eastAsia"/>
              </w:rPr>
              <w:t>用户管理</w:t>
            </w:r>
          </w:p>
        </w:tc>
        <w:tc>
          <w:tcPr>
            <w:tcW w:w="3906" w:type="dxa"/>
          </w:tcPr>
          <w:p/>
        </w:tc>
      </w:tr>
      <w:tr>
        <w:tc>
          <w:tcPr>
            <w:tcW w:w="1134" w:type="dxa"/>
            <w:vMerge w:val="continue"/>
          </w:tcPr>
          <w:p/>
        </w:tc>
        <w:tc>
          <w:tcPr>
            <w:tcW w:w="1417" w:type="dxa"/>
          </w:tcPr>
          <w:p/>
        </w:tc>
        <w:tc>
          <w:tcPr>
            <w:tcW w:w="1560" w:type="dxa"/>
          </w:tcPr>
          <w:p>
            <w:r>
              <w:rPr>
                <w:rFonts w:hint="eastAsia"/>
              </w:rPr>
              <w:t>角色管理</w:t>
            </w:r>
          </w:p>
        </w:tc>
        <w:tc>
          <w:tcPr>
            <w:tcW w:w="3906" w:type="dxa"/>
          </w:tcPr>
          <w:p/>
        </w:tc>
      </w:tr>
      <w:tr>
        <w:tc>
          <w:tcPr>
            <w:tcW w:w="1134" w:type="dxa"/>
            <w:vMerge w:val="continue"/>
          </w:tcPr>
          <w:p/>
        </w:tc>
        <w:tc>
          <w:tcPr>
            <w:tcW w:w="1417" w:type="dxa"/>
          </w:tcPr>
          <w:p/>
        </w:tc>
        <w:tc>
          <w:tcPr>
            <w:tcW w:w="1560" w:type="dxa"/>
          </w:tcPr>
          <w:p>
            <w:r>
              <w:rPr>
                <w:rFonts w:hint="eastAsia"/>
              </w:rPr>
              <w:t>授权管理</w:t>
            </w:r>
          </w:p>
        </w:tc>
        <w:tc>
          <w:tcPr>
            <w:tcW w:w="3906" w:type="dxa"/>
          </w:tcPr>
          <w:p/>
        </w:tc>
      </w:tr>
      <w:tr>
        <w:tc>
          <w:tcPr>
            <w:tcW w:w="1134" w:type="dxa"/>
            <w:vMerge w:val="continue"/>
          </w:tcPr>
          <w:p/>
        </w:tc>
        <w:tc>
          <w:tcPr>
            <w:tcW w:w="1417" w:type="dxa"/>
          </w:tcPr>
          <w:p/>
        </w:tc>
        <w:tc>
          <w:tcPr>
            <w:tcW w:w="1560" w:type="dxa"/>
          </w:tcPr>
          <w:p>
            <w:r>
              <w:rPr>
                <w:rFonts w:hint="eastAsia"/>
              </w:rPr>
              <w:t>日志管理</w:t>
            </w:r>
          </w:p>
        </w:tc>
        <w:tc>
          <w:tcPr>
            <w:tcW w:w="3906" w:type="dxa"/>
          </w:tcPr>
          <w:p/>
        </w:tc>
      </w:tr>
    </w:tbl>
    <w:p/>
    <w:p>
      <w:pPr>
        <w:pStyle w:val="2"/>
        <w:numPr>
          <w:ilvl w:val="1"/>
          <w:numId w:val="1"/>
        </w:numPr>
        <w:rPr>
          <w:shd w:val="clear" w:color="auto" w:fill="FFFFFF"/>
        </w:rPr>
      </w:pPr>
      <w:bookmarkStart w:id="14" w:name="_Toc748135144_WPSOffice_Level2"/>
      <w:bookmarkStart w:id="15" w:name="_Toc73088966"/>
      <w:r>
        <w:rPr>
          <w:rFonts w:hint="eastAsia"/>
          <w:shd w:val="clear" w:color="auto" w:fill="FFFFFF"/>
        </w:rPr>
        <w:t>按角色划分</w:t>
      </w:r>
      <w:bookmarkEnd w:id="14"/>
      <w:bookmarkEnd w:id="15"/>
    </w:p>
    <w:tbl>
      <w:tblPr>
        <w:tblStyle w:val="19"/>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1134"/>
        <w:gridCol w:w="1134"/>
        <w:gridCol w:w="850"/>
        <w:gridCol w:w="992"/>
        <w:gridCol w:w="709"/>
        <w:gridCol w:w="851"/>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544" w:type="dxa"/>
            <w:gridSpan w:val="3"/>
            <w:vAlign w:val="center"/>
          </w:tcPr>
          <w:p>
            <w:pPr>
              <w:jc w:val="center"/>
              <w:rPr>
                <w:b/>
                <w:bCs/>
              </w:rPr>
            </w:pPr>
            <w:r>
              <w:rPr>
                <w:rFonts w:hint="eastAsia"/>
                <w:b/>
                <w:bCs/>
              </w:rPr>
              <w:t>功能</w:t>
            </w:r>
          </w:p>
        </w:tc>
        <w:tc>
          <w:tcPr>
            <w:tcW w:w="4394" w:type="dxa"/>
            <w:gridSpan w:val="5"/>
            <w:vAlign w:val="center"/>
          </w:tcPr>
          <w:p>
            <w:pPr>
              <w:jc w:val="center"/>
              <w:rPr>
                <w:b/>
                <w:bCs/>
              </w:rPr>
            </w:pPr>
            <w:r>
              <w:rPr>
                <w:rFonts w:hint="eastAsia"/>
                <w:b/>
                <w:bCs/>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2" w:hRule="atLeast"/>
        </w:trPr>
        <w:tc>
          <w:tcPr>
            <w:tcW w:w="1276" w:type="dxa"/>
            <w:vMerge w:val="restart"/>
            <w:vAlign w:val="center"/>
          </w:tcPr>
          <w:p>
            <w:pPr>
              <w:jc w:val="center"/>
              <w:rPr>
                <w:b/>
                <w:bCs/>
              </w:rPr>
            </w:pPr>
            <w:r>
              <w:rPr>
                <w:rFonts w:hint="eastAsia"/>
                <w:b/>
                <w:bCs/>
              </w:rPr>
              <w:t>模块</w:t>
            </w:r>
          </w:p>
        </w:tc>
        <w:tc>
          <w:tcPr>
            <w:tcW w:w="1134" w:type="dxa"/>
            <w:vMerge w:val="restart"/>
            <w:vAlign w:val="center"/>
          </w:tcPr>
          <w:p>
            <w:pPr>
              <w:jc w:val="center"/>
              <w:rPr>
                <w:b/>
                <w:bCs/>
              </w:rPr>
            </w:pPr>
            <w:r>
              <w:rPr>
                <w:rFonts w:hint="eastAsia"/>
                <w:b/>
                <w:bCs/>
              </w:rPr>
              <w:t>子模块</w:t>
            </w:r>
          </w:p>
        </w:tc>
        <w:tc>
          <w:tcPr>
            <w:tcW w:w="1134" w:type="dxa"/>
            <w:vMerge w:val="restart"/>
            <w:vAlign w:val="center"/>
          </w:tcPr>
          <w:p>
            <w:pPr>
              <w:jc w:val="center"/>
              <w:rPr>
                <w:b/>
                <w:bCs/>
              </w:rPr>
            </w:pPr>
            <w:r>
              <w:rPr>
                <w:rFonts w:hint="eastAsia"/>
                <w:b/>
                <w:bCs/>
              </w:rPr>
              <w:t>功能</w:t>
            </w:r>
          </w:p>
        </w:tc>
        <w:tc>
          <w:tcPr>
            <w:tcW w:w="850" w:type="dxa"/>
            <w:vMerge w:val="restart"/>
            <w:vAlign w:val="center"/>
          </w:tcPr>
          <w:p>
            <w:pPr>
              <w:jc w:val="center"/>
              <w:rPr>
                <w:b/>
                <w:bCs/>
              </w:rPr>
            </w:pPr>
            <w:r>
              <w:rPr>
                <w:rFonts w:hint="eastAsia"/>
                <w:b/>
                <w:bCs/>
              </w:rPr>
              <w:t>优力</w:t>
            </w:r>
          </w:p>
        </w:tc>
        <w:tc>
          <w:tcPr>
            <w:tcW w:w="992" w:type="dxa"/>
            <w:vMerge w:val="restart"/>
            <w:vAlign w:val="center"/>
          </w:tcPr>
          <w:p>
            <w:pPr>
              <w:jc w:val="center"/>
              <w:rPr>
                <w:b/>
                <w:bCs/>
              </w:rPr>
            </w:pPr>
            <w:r>
              <w:rPr>
                <w:rFonts w:hint="eastAsia"/>
                <w:b/>
                <w:bCs/>
              </w:rPr>
              <w:t>供应商</w:t>
            </w:r>
          </w:p>
        </w:tc>
        <w:tc>
          <w:tcPr>
            <w:tcW w:w="709" w:type="dxa"/>
            <w:vMerge w:val="restart"/>
            <w:vAlign w:val="center"/>
          </w:tcPr>
          <w:p>
            <w:pPr>
              <w:jc w:val="center"/>
              <w:rPr>
                <w:b/>
                <w:bCs/>
              </w:rPr>
            </w:pPr>
            <w:r>
              <w:rPr>
                <w:rFonts w:hint="eastAsia"/>
                <w:b/>
                <w:bCs/>
              </w:rPr>
              <w:t>关务</w:t>
            </w:r>
          </w:p>
        </w:tc>
        <w:tc>
          <w:tcPr>
            <w:tcW w:w="1843" w:type="dxa"/>
            <w:gridSpan w:val="2"/>
            <w:vAlign w:val="center"/>
          </w:tcPr>
          <w:p>
            <w:pPr>
              <w:jc w:val="center"/>
              <w:rPr>
                <w:b/>
                <w:bCs/>
              </w:rPr>
            </w:pPr>
            <w:r>
              <w:rPr>
                <w:rFonts w:hint="eastAsia"/>
                <w:b/>
                <w:bCs/>
              </w:rPr>
              <w:t>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1" w:hRule="atLeast"/>
        </w:trPr>
        <w:tc>
          <w:tcPr>
            <w:tcW w:w="1276" w:type="dxa"/>
            <w:vMerge w:val="continue"/>
            <w:vAlign w:val="center"/>
          </w:tcPr>
          <w:p>
            <w:pPr>
              <w:jc w:val="center"/>
              <w:rPr>
                <w:b/>
                <w:bCs/>
              </w:rPr>
            </w:pPr>
          </w:p>
        </w:tc>
        <w:tc>
          <w:tcPr>
            <w:tcW w:w="1134" w:type="dxa"/>
            <w:vMerge w:val="continue"/>
            <w:vAlign w:val="center"/>
          </w:tcPr>
          <w:p>
            <w:pPr>
              <w:jc w:val="center"/>
              <w:rPr>
                <w:b/>
                <w:bCs/>
              </w:rPr>
            </w:pPr>
          </w:p>
        </w:tc>
        <w:tc>
          <w:tcPr>
            <w:tcW w:w="1134" w:type="dxa"/>
            <w:vMerge w:val="continue"/>
            <w:vAlign w:val="center"/>
          </w:tcPr>
          <w:p>
            <w:pPr>
              <w:jc w:val="center"/>
              <w:rPr>
                <w:b/>
                <w:bCs/>
              </w:rPr>
            </w:pPr>
          </w:p>
        </w:tc>
        <w:tc>
          <w:tcPr>
            <w:tcW w:w="850" w:type="dxa"/>
            <w:vMerge w:val="continue"/>
            <w:vAlign w:val="center"/>
          </w:tcPr>
          <w:p>
            <w:pPr>
              <w:jc w:val="center"/>
              <w:rPr>
                <w:b/>
                <w:bCs/>
              </w:rPr>
            </w:pPr>
          </w:p>
        </w:tc>
        <w:tc>
          <w:tcPr>
            <w:tcW w:w="992" w:type="dxa"/>
            <w:vMerge w:val="continue"/>
            <w:vAlign w:val="center"/>
          </w:tcPr>
          <w:p>
            <w:pPr>
              <w:jc w:val="center"/>
              <w:rPr>
                <w:b/>
                <w:bCs/>
              </w:rPr>
            </w:pPr>
          </w:p>
        </w:tc>
        <w:tc>
          <w:tcPr>
            <w:tcW w:w="709" w:type="dxa"/>
            <w:vMerge w:val="continue"/>
            <w:vAlign w:val="center"/>
          </w:tcPr>
          <w:p>
            <w:pPr>
              <w:jc w:val="center"/>
              <w:rPr>
                <w:b/>
                <w:bCs/>
              </w:rPr>
            </w:pPr>
          </w:p>
        </w:tc>
        <w:tc>
          <w:tcPr>
            <w:tcW w:w="851" w:type="dxa"/>
            <w:vAlign w:val="center"/>
          </w:tcPr>
          <w:p>
            <w:pPr>
              <w:jc w:val="center"/>
              <w:rPr>
                <w:b/>
                <w:bCs/>
              </w:rPr>
            </w:pPr>
            <w:r>
              <w:rPr>
                <w:rFonts w:hint="eastAsia"/>
                <w:b/>
                <w:bCs/>
              </w:rPr>
              <w:t>操作</w:t>
            </w:r>
          </w:p>
        </w:tc>
        <w:tc>
          <w:tcPr>
            <w:tcW w:w="992" w:type="dxa"/>
            <w:vAlign w:val="center"/>
          </w:tcPr>
          <w:p>
            <w:pPr>
              <w:jc w:val="center"/>
              <w:rPr>
                <w:b/>
                <w:bCs/>
              </w:rPr>
            </w:pPr>
            <w:r>
              <w:rPr>
                <w:rFonts w:hint="eastAsia"/>
                <w:b/>
                <w:bCs/>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订单管理</w:t>
            </w:r>
          </w:p>
        </w:tc>
        <w:tc>
          <w:tcPr>
            <w:tcW w:w="1134" w:type="dxa"/>
            <w:vMerge w:val="restart"/>
          </w:tcPr>
          <w:p>
            <w:r>
              <w:rPr>
                <w:rFonts w:hint="eastAsia"/>
              </w:rPr>
              <w:t>订单列表</w:t>
            </w:r>
          </w:p>
        </w:tc>
        <w:tc>
          <w:tcPr>
            <w:tcW w:w="1134" w:type="dxa"/>
          </w:tcPr>
          <w:p>
            <w:r>
              <w:rPr>
                <w:rFonts w:hint="eastAsia"/>
              </w:rPr>
              <w:t>导入</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导出订单明细</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导入订单明细</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导出报表</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restart"/>
          </w:tcPr>
          <w:p>
            <w:r>
              <w:rPr>
                <w:rFonts w:hint="eastAsia"/>
              </w:rPr>
              <w:t>导入日志</w:t>
            </w: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vMerge w:val="continue"/>
          </w:tcPr>
          <w:p/>
        </w:tc>
        <w:tc>
          <w:tcPr>
            <w:tcW w:w="1134" w:type="dxa"/>
          </w:tcPr>
          <w:p>
            <w:r>
              <w:rPr>
                <w:rFonts w:hint="eastAsia"/>
              </w:rPr>
              <w:t>下载</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报关资料</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审核</w:t>
            </w:r>
          </w:p>
        </w:tc>
        <w:tc>
          <w:tcPr>
            <w:tcW w:w="850" w:type="dxa"/>
            <w:vAlign w:val="center"/>
          </w:tcPr>
          <w:p>
            <w:pPr>
              <w:jc w:val="center"/>
            </w:pPr>
          </w:p>
        </w:tc>
        <w:tc>
          <w:tcPr>
            <w:tcW w:w="992" w:type="dxa"/>
            <w:vAlign w:val="center"/>
          </w:tcPr>
          <w:p>
            <w:pPr>
              <w:jc w:val="cente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下载报关资料</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上传报关资料</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导出</w:t>
            </w:r>
          </w:p>
        </w:tc>
        <w:tc>
          <w:tcPr>
            <w:tcW w:w="850" w:type="dxa"/>
            <w:vAlign w:val="center"/>
          </w:tcPr>
          <w:p>
            <w:pPr>
              <w:jc w:val="center"/>
            </w:pPr>
          </w:p>
        </w:tc>
        <w:tc>
          <w:tcPr>
            <w:tcW w:w="992" w:type="dxa"/>
            <w:vAlign w:val="center"/>
          </w:tcPr>
          <w:p>
            <w:pPr>
              <w:jc w:val="center"/>
              <w:rPr>
                <w:rFonts w:ascii="Apple Color Emoji" w:hAnsi="Apple Color Emoji" w:cs="Apple Color Emoji"/>
              </w:rP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rPr>
                <w:rFonts w:ascii="Apple Color Emoji" w:hAnsi="Apple Color Emoji" w:cs="Apple Color Emoji"/>
              </w:rPr>
            </w:pP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p>
        </w:tc>
        <w:tc>
          <w:tcPr>
            <w:tcW w:w="709"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预约送货</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审核</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导出进仓单</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打印进仓单</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详情</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产品维护</w:t>
            </w: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供应商管理</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修改</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查询</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注册</w:t>
            </w:r>
          </w:p>
        </w:tc>
        <w:tc>
          <w:tcPr>
            <w:tcW w:w="850" w:type="dxa"/>
            <w:vAlign w:val="center"/>
          </w:tcPr>
          <w:p>
            <w:pPr>
              <w:jc w:val="center"/>
            </w:pP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文件管理</w:t>
            </w:r>
          </w:p>
        </w:tc>
        <w:tc>
          <w:tcPr>
            <w:tcW w:w="1134" w:type="dxa"/>
          </w:tcPr>
          <w:p/>
        </w:tc>
        <w:tc>
          <w:tcPr>
            <w:tcW w:w="1134" w:type="dxa"/>
          </w:tcPr>
          <w:p>
            <w:r>
              <w:rPr>
                <w:rFonts w:hint="eastAsia"/>
              </w:rPr>
              <w:t>新增</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tc>
        <w:tc>
          <w:tcPr>
            <w:tcW w:w="1134" w:type="dxa"/>
          </w:tcPr>
          <w:p>
            <w:r>
              <w:rPr>
                <w:rFonts w:hint="eastAsia"/>
              </w:rPr>
              <w:t>删除</w:t>
            </w: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tcPr>
          <w:p>
            <w:r>
              <w:rPr>
                <w:rFonts w:hint="eastAsia"/>
              </w:rPr>
              <w:t>个人信息维护</w:t>
            </w:r>
          </w:p>
        </w:tc>
        <w:tc>
          <w:tcPr>
            <w:tcW w:w="1134" w:type="dxa"/>
          </w:tcPr>
          <w:p/>
        </w:tc>
        <w:tc>
          <w:tcPr>
            <w:tcW w:w="1134" w:type="dxa"/>
          </w:tcPr>
          <w:p>
            <w:r>
              <w:rPr>
                <w:rFonts w:hint="eastAsia"/>
              </w:rPr>
              <w:t>修改密码/基本信息</w:t>
            </w:r>
          </w:p>
        </w:tc>
        <w:tc>
          <w:tcPr>
            <w:tcW w:w="850"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709" w:type="dxa"/>
            <w:vAlign w:val="center"/>
          </w:tcPr>
          <w:p>
            <w:pPr>
              <w:jc w:val="center"/>
            </w:pPr>
          </w:p>
        </w:tc>
        <w:tc>
          <w:tcPr>
            <w:tcW w:w="851" w:type="dxa"/>
            <w:vAlign w:val="center"/>
          </w:tcPr>
          <w:p>
            <w:pPr>
              <w:jc w:val="center"/>
            </w:pPr>
            <w:r>
              <w:rPr>
                <w:rFonts w:ascii="Apple Color Emoji" w:hAnsi="Apple Color Emoji" w:cs="Apple Color Emoji"/>
              </w:rPr>
              <w:t>☑</w:t>
            </w:r>
            <w:r>
              <w:rPr>
                <w:rFonts w:hint="eastAsia" w:ascii="Apple Color Emoji" w:hAnsi="Apple Color Emoji" w:cs="Apple Color Emoji"/>
              </w:rPr>
              <w:t>️</w:t>
            </w: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restart"/>
          </w:tcPr>
          <w:p>
            <w:r>
              <w:rPr>
                <w:rFonts w:hint="eastAsia"/>
              </w:rPr>
              <w:t>系统管理</w:t>
            </w:r>
          </w:p>
        </w:tc>
        <w:tc>
          <w:tcPr>
            <w:tcW w:w="1134" w:type="dxa"/>
          </w:tcPr>
          <w:p>
            <w:r>
              <w:rPr>
                <w:rFonts w:hint="eastAsia"/>
              </w:rPr>
              <w:t>用户管理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角色管理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授权管理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6" w:type="dxa"/>
            <w:vMerge w:val="continue"/>
          </w:tcPr>
          <w:p/>
        </w:tc>
        <w:tc>
          <w:tcPr>
            <w:tcW w:w="1134" w:type="dxa"/>
          </w:tcPr>
          <w:p>
            <w:r>
              <w:rPr>
                <w:rFonts w:hint="eastAsia"/>
              </w:rPr>
              <w:t>日志管理</w:t>
            </w:r>
          </w:p>
        </w:tc>
        <w:tc>
          <w:tcPr>
            <w:tcW w:w="1134" w:type="dxa"/>
          </w:tcPr>
          <w:p/>
        </w:tc>
        <w:tc>
          <w:tcPr>
            <w:tcW w:w="850" w:type="dxa"/>
            <w:vAlign w:val="center"/>
          </w:tcPr>
          <w:p>
            <w:pPr>
              <w:jc w:val="center"/>
            </w:pPr>
          </w:p>
        </w:tc>
        <w:tc>
          <w:tcPr>
            <w:tcW w:w="992" w:type="dxa"/>
            <w:vAlign w:val="center"/>
          </w:tcPr>
          <w:p>
            <w:pPr>
              <w:jc w:val="center"/>
            </w:pPr>
          </w:p>
        </w:tc>
        <w:tc>
          <w:tcPr>
            <w:tcW w:w="709" w:type="dxa"/>
            <w:vAlign w:val="center"/>
          </w:tcPr>
          <w:p>
            <w:pPr>
              <w:jc w:val="center"/>
            </w:pPr>
          </w:p>
        </w:tc>
        <w:tc>
          <w:tcPr>
            <w:tcW w:w="851" w:type="dxa"/>
            <w:vAlign w:val="center"/>
          </w:tcPr>
          <w:p>
            <w:pPr>
              <w:jc w:val="center"/>
            </w:pPr>
          </w:p>
        </w:tc>
        <w:tc>
          <w:tcPr>
            <w:tcW w:w="992" w:type="dxa"/>
            <w:vAlign w:val="center"/>
          </w:tcPr>
          <w:p>
            <w:pPr>
              <w:jc w:val="center"/>
              <w:rPr>
                <w:rFonts w:ascii="Apple Color Emoji" w:hAnsi="Apple Color Emoji" w:cs="Apple Color Emoji"/>
              </w:rPr>
            </w:pPr>
            <w:r>
              <w:rPr>
                <w:rFonts w:ascii="Apple Color Emoji" w:hAnsi="Apple Color Emoji" w:cs="Apple Color Emoji"/>
              </w:rPr>
              <w:t>☑</w:t>
            </w:r>
            <w:r>
              <w:rPr>
                <w:rFonts w:hint="eastAsia" w:ascii="Apple Color Emoji" w:hAnsi="Apple Color Emoji" w:cs="Apple Color Emoji"/>
              </w:rPr>
              <w:t>️</w:t>
            </w:r>
          </w:p>
        </w:tc>
      </w:tr>
    </w:tbl>
    <w:p/>
    <w:p>
      <w:pPr>
        <w:pStyle w:val="2"/>
        <w:numPr>
          <w:ilvl w:val="1"/>
          <w:numId w:val="1"/>
        </w:numPr>
        <w:rPr>
          <w:shd w:val="clear" w:color="auto" w:fill="FFFFFF"/>
        </w:rPr>
      </w:pPr>
      <w:bookmarkStart w:id="16" w:name="_Toc73088967"/>
      <w:bookmarkStart w:id="17" w:name="_Toc390612023_WPSOffice_Level2"/>
      <w:r>
        <w:rPr>
          <w:rFonts w:hint="eastAsia"/>
          <w:shd w:val="clear" w:color="auto" w:fill="FFFFFF"/>
        </w:rPr>
        <w:t>主要实体分析</w:t>
      </w:r>
      <w:bookmarkEnd w:id="16"/>
    </w:p>
    <w:p>
      <w:pPr>
        <w:jc w:val="center"/>
      </w:pPr>
      <w:r>
        <w:rPr>
          <w:rFonts w:hint="eastAsia"/>
        </w:rPr>
        <w:drawing>
          <wp:inline distT="0" distB="0" distL="0" distR="0">
            <wp:extent cx="2647950" cy="1863090"/>
            <wp:effectExtent l="0" t="0" r="0" b="381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653681" cy="1867405"/>
                    </a:xfrm>
                    <a:prstGeom prst="rect">
                      <a:avLst/>
                    </a:prstGeom>
                  </pic:spPr>
                </pic:pic>
              </a:graphicData>
            </a:graphic>
          </wp:inline>
        </w:drawing>
      </w:r>
    </w:p>
    <w:p>
      <w:pPr>
        <w:pStyle w:val="2"/>
        <w:numPr>
          <w:ilvl w:val="1"/>
          <w:numId w:val="1"/>
        </w:numPr>
        <w:rPr>
          <w:shd w:val="clear" w:color="auto" w:fill="FFFFFF"/>
        </w:rPr>
      </w:pPr>
      <w:bookmarkStart w:id="18" w:name="_Toc73088968"/>
      <w:r>
        <w:rPr>
          <w:rFonts w:hint="eastAsia"/>
          <w:shd w:val="clear" w:color="auto" w:fill="FFFFFF"/>
        </w:rPr>
        <w:t>订单状态</w:t>
      </w:r>
      <w:bookmarkEnd w:id="17"/>
      <w:bookmarkEnd w:id="18"/>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订单状态分为报关状态和送货状态。</w:t>
      </w:r>
    </w:p>
    <w:p>
      <w:pPr>
        <w:widowControl/>
        <w:ind w:firstLine="42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报关状态：待报关，报关中，报关完成。</w:t>
      </w:r>
    </w:p>
    <w:p>
      <w:pPr>
        <w:widowControl/>
        <w:ind w:firstLine="420"/>
        <w:jc w:val="left"/>
        <w:rPr>
          <w:rFonts w:ascii="微软雅黑" w:hAnsi="微软雅黑" w:eastAsia="微软雅黑" w:cs="宋体"/>
          <w:kern w:val="0"/>
          <w:sz w:val="24"/>
          <w:shd w:val="clear" w:color="auto" w:fill="FFFFFF"/>
        </w:rPr>
      </w:pPr>
      <w:r>
        <w:rPr>
          <w:rFonts w:ascii="微软雅黑" w:hAnsi="微软雅黑" w:eastAsia="微软雅黑" w:cs="宋体"/>
          <w:kern w:val="0"/>
          <w:sz w:val="24"/>
          <w:shd w:val="clear" w:color="auto" w:fill="FFFFFF"/>
        </w:rPr>
        <w:t>送货状态：待送货</w:t>
      </w:r>
      <w:r>
        <w:rPr>
          <w:rFonts w:hint="eastAsia" w:ascii="微软雅黑" w:hAnsi="微软雅黑" w:eastAsia="微软雅黑" w:cs="宋体"/>
          <w:kern w:val="0"/>
          <w:sz w:val="24"/>
          <w:shd w:val="clear" w:color="auto" w:fill="FFFFFF"/>
        </w:rPr>
        <w:t>，送货中，送货完成。</w:t>
      </w:r>
    </w:p>
    <w:p>
      <w:pPr>
        <w:pStyle w:val="2"/>
        <w:numPr>
          <w:ilvl w:val="2"/>
          <w:numId w:val="1"/>
        </w:numPr>
      </w:pPr>
      <w:bookmarkStart w:id="19" w:name="_Toc218465931_WPSOffice_Level3"/>
      <w:bookmarkStart w:id="20" w:name="_Toc73088969"/>
      <w:r>
        <w:rPr>
          <w:rFonts w:ascii="Helvetica" w:hAnsi="Helvetica" w:eastAsia="宋体" w:cs="宋体"/>
          <w:color w:val="000000"/>
          <w:kern w:val="0"/>
          <w:szCs w:val="21"/>
          <w:shd w:val="clear" w:color="auto" w:fill="FFFFFF"/>
        </w:rPr>
        <w:t>报关状态</w:t>
      </w:r>
      <w:r>
        <w:rPr>
          <w:rFonts w:hint="eastAsia" w:ascii="Helvetica" w:hAnsi="Helvetica" w:eastAsia="宋体" w:cs="宋体"/>
          <w:color w:val="000000"/>
          <w:kern w:val="0"/>
          <w:szCs w:val="21"/>
          <w:shd w:val="clear" w:color="auto" w:fill="FFFFFF"/>
        </w:rPr>
        <w:t>图</w:t>
      </w:r>
      <w:bookmarkEnd w:id="19"/>
      <w:bookmarkEnd w:id="20"/>
    </w:p>
    <w:p>
      <w:pPr>
        <w:keepNext w:val="0"/>
        <w:keepLines w:val="0"/>
        <w:widowControl/>
        <w:suppressLineNumbers w:val="0"/>
        <w:jc w:val="left"/>
        <w:rPr>
          <w:rFonts w:ascii="宋体" w:hAnsi="宋体" w:eastAsia="宋体" w:cs="宋体"/>
          <w:kern w:val="0"/>
          <w:sz w:val="24"/>
          <w:szCs w:val="24"/>
          <w:lang w:val="en-US" w:eastAsia="zh-CN" w:bidi="ar"/>
        </w:rPr>
      </w:pPr>
      <w:r>
        <w:drawing>
          <wp:inline distT="0" distB="0" distL="114300" distR="114300">
            <wp:extent cx="5269865" cy="4258945"/>
            <wp:effectExtent l="0" t="0" r="13335" b="825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5269865" cy="425894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pStyle w:val="2"/>
        <w:numPr>
          <w:ilvl w:val="2"/>
          <w:numId w:val="1"/>
        </w:numPr>
        <w:rPr>
          <w:rFonts w:ascii="Helvetica" w:hAnsi="Helvetica" w:eastAsia="宋体" w:cs="宋体"/>
          <w:color w:val="000000"/>
          <w:kern w:val="0"/>
          <w:szCs w:val="21"/>
          <w:shd w:val="clear" w:color="auto" w:fill="FFFFFF"/>
        </w:rPr>
      </w:pPr>
      <w:bookmarkStart w:id="21" w:name="_Toc1707349594_WPSOffice_Level3"/>
      <w:bookmarkStart w:id="22" w:name="_Toc73088970"/>
      <w:r>
        <w:rPr>
          <w:rFonts w:hint="eastAsia" w:ascii="Helvetica" w:hAnsi="Helvetica" w:eastAsia="宋体" w:cs="宋体"/>
          <w:color w:val="000000"/>
          <w:kern w:val="0"/>
          <w:szCs w:val="21"/>
          <w:shd w:val="clear" w:color="auto" w:fill="FFFFFF"/>
        </w:rPr>
        <w:t>送货单状态图</w:t>
      </w:r>
      <w:bookmarkEnd w:id="21"/>
      <w:bookmarkEnd w:id="22"/>
    </w:p>
    <w:p>
      <w:pPr>
        <w:jc w:val="right"/>
      </w:pPr>
      <w:r>
        <w:drawing>
          <wp:inline distT="0" distB="0" distL="0" distR="0">
            <wp:extent cx="4953000" cy="3086100"/>
            <wp:effectExtent l="0" t="0" r="0" b="0"/>
            <wp:docPr id="9" name="图片 9"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示&#10;&#10;描述已自动生成"/>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53000" cy="3086100"/>
                    </a:xfrm>
                    <a:prstGeom prst="rect">
                      <a:avLst/>
                    </a:prstGeom>
                  </pic:spPr>
                </pic:pic>
              </a:graphicData>
            </a:graphic>
          </wp:inline>
        </w:drawing>
      </w:r>
    </w:p>
    <w:p>
      <w:pPr>
        <w:pStyle w:val="2"/>
        <w:numPr>
          <w:ilvl w:val="1"/>
          <w:numId w:val="1"/>
        </w:numPr>
        <w:rPr>
          <w:shd w:val="clear" w:color="auto" w:fill="FFFFFF"/>
        </w:rPr>
      </w:pPr>
      <w:bookmarkStart w:id="23" w:name="_Toc73088971"/>
      <w:bookmarkStart w:id="24" w:name="_Toc158761682_WPSOffice_Level2"/>
      <w:r>
        <w:rPr>
          <w:rFonts w:hint="eastAsia"/>
          <w:shd w:val="clear" w:color="auto" w:fill="FFFFFF"/>
        </w:rPr>
        <w:t>订单明细状态</w:t>
      </w:r>
      <w:bookmarkEnd w:id="23"/>
    </w:p>
    <w:p>
      <w:pPr>
        <w:keepNext w:val="0"/>
        <w:keepLines w:val="0"/>
        <w:widowControl/>
        <w:suppressLineNumbers w:val="0"/>
        <w:jc w:val="left"/>
      </w:pPr>
      <w:r>
        <w:drawing>
          <wp:inline distT="0" distB="0" distL="114300" distR="114300">
            <wp:extent cx="5273675" cy="5886450"/>
            <wp:effectExtent l="0" t="0" r="9525" b="635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1"/>
                    <a:stretch>
                      <a:fillRect/>
                    </a:stretch>
                  </pic:blipFill>
                  <pic:spPr>
                    <a:xfrm>
                      <a:off x="0" y="0"/>
                      <a:ext cx="5273675" cy="5886450"/>
                    </a:xfrm>
                    <a:prstGeom prst="rect">
                      <a:avLst/>
                    </a:prstGeom>
                    <a:noFill/>
                    <a:ln w="9525">
                      <a:noFill/>
                    </a:ln>
                  </pic:spPr>
                </pic:pic>
              </a:graphicData>
            </a:graphic>
          </wp:inline>
        </w:drawing>
      </w:r>
    </w:p>
    <w:p>
      <w:pPr>
        <w:pStyle w:val="2"/>
        <w:numPr>
          <w:ilvl w:val="1"/>
          <w:numId w:val="1"/>
        </w:numPr>
        <w:rPr>
          <w:shd w:val="clear" w:color="auto" w:fill="FFFFFF"/>
        </w:rPr>
      </w:pPr>
      <w:bookmarkStart w:id="25" w:name="_Toc73088972"/>
      <w:r>
        <w:rPr>
          <w:rFonts w:hint="eastAsia"/>
          <w:shd w:val="clear" w:color="auto" w:fill="FFFFFF"/>
        </w:rPr>
        <w:t>报关资料状态</w:t>
      </w:r>
      <w:bookmarkEnd w:id="25"/>
    </w:p>
    <w:p>
      <w:pPr>
        <w:jc w:val="center"/>
      </w:pPr>
      <w:r>
        <w:drawing>
          <wp:inline distT="0" distB="0" distL="114300" distR="114300">
            <wp:extent cx="1814830" cy="2386330"/>
            <wp:effectExtent l="0" t="0" r="13970" b="127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2"/>
                    <a:stretch>
                      <a:fillRect/>
                    </a:stretch>
                  </pic:blipFill>
                  <pic:spPr>
                    <a:xfrm>
                      <a:off x="0" y="0"/>
                      <a:ext cx="1814830" cy="2386330"/>
                    </a:xfrm>
                    <a:prstGeom prst="rect">
                      <a:avLst/>
                    </a:prstGeom>
                    <a:noFill/>
                    <a:ln w="9525">
                      <a:noFill/>
                    </a:ln>
                  </pic:spPr>
                </pic:pic>
              </a:graphicData>
            </a:graphic>
          </wp:inline>
        </w:drawing>
      </w:r>
    </w:p>
    <w:p>
      <w:pPr>
        <w:pStyle w:val="2"/>
        <w:numPr>
          <w:ilvl w:val="1"/>
          <w:numId w:val="1"/>
        </w:numPr>
        <w:rPr>
          <w:shd w:val="clear" w:color="auto" w:fill="FFFFFF"/>
        </w:rPr>
      </w:pPr>
      <w:bookmarkStart w:id="26" w:name="_Toc73088973"/>
      <w:r>
        <w:rPr>
          <w:rFonts w:hint="eastAsia"/>
          <w:shd w:val="clear" w:color="auto" w:fill="FFFFFF"/>
        </w:rPr>
        <w:t>预约送货状态图</w:t>
      </w:r>
      <w:bookmarkEnd w:id="24"/>
      <w:bookmarkEnd w:id="26"/>
    </w:p>
    <w:p>
      <w:pPr>
        <w:rPr>
          <w:rFonts w:hint="eastAsia"/>
        </w:rPr>
      </w:pPr>
      <w:r>
        <w:rPr>
          <w:rFonts w:hint="eastAsia"/>
        </w:rPr>
        <w:t>预约中，受理中，预约失败，送货中，已</w:t>
      </w:r>
      <w:r>
        <w:rPr>
          <w:rFonts w:hint="eastAsia"/>
          <w:lang w:val="en-US" w:eastAsia="zh-Hans"/>
        </w:rPr>
        <w:t>收</w:t>
      </w:r>
      <w:r>
        <w:rPr>
          <w:rFonts w:hint="eastAsia"/>
        </w:rPr>
        <w:t>货</w:t>
      </w:r>
    </w:p>
    <w:p>
      <w:pPr>
        <w:jc w:val="center"/>
        <w:rPr>
          <w:rFonts w:hint="eastAsia"/>
        </w:rPr>
      </w:pPr>
      <w:r>
        <w:drawing>
          <wp:inline distT="0" distB="0" distL="114300" distR="114300">
            <wp:extent cx="1962150" cy="3819525"/>
            <wp:effectExtent l="0" t="0" r="19050" b="1587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3"/>
                    <a:stretch>
                      <a:fillRect/>
                    </a:stretch>
                  </pic:blipFill>
                  <pic:spPr>
                    <a:xfrm>
                      <a:off x="0" y="0"/>
                      <a:ext cx="1962150" cy="3819525"/>
                    </a:xfrm>
                    <a:prstGeom prst="rect">
                      <a:avLst/>
                    </a:prstGeom>
                    <a:noFill/>
                    <a:ln w="9525">
                      <a:noFill/>
                    </a:ln>
                  </pic:spPr>
                </pic:pic>
              </a:graphicData>
            </a:graphic>
          </wp:inline>
        </w:drawing>
      </w:r>
    </w:p>
    <w:p>
      <w:pPr>
        <w:jc w:val="center"/>
      </w:pPr>
    </w:p>
    <w:p>
      <w:pPr>
        <w:pStyle w:val="2"/>
        <w:numPr>
          <w:ilvl w:val="0"/>
          <w:numId w:val="1"/>
        </w:numPr>
        <w:rPr>
          <w:shd w:val="clear" w:color="auto" w:fill="FFFFFF"/>
        </w:rPr>
      </w:pPr>
      <w:bookmarkStart w:id="27" w:name="_Toc73088974"/>
      <w:bookmarkStart w:id="28" w:name="_Toc390612023_WPSOffice_Level1"/>
      <w:r>
        <w:rPr>
          <w:rFonts w:hint="eastAsia"/>
          <w:shd w:val="clear" w:color="auto" w:fill="FFFFFF"/>
        </w:rPr>
        <w:t>其他需求</w:t>
      </w:r>
      <w:bookmarkEnd w:id="27"/>
      <w:bookmarkEnd w:id="28"/>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所有操作在电脑端完成，不支持手机端操作。界面美观，操作性好。支持灵活多样的查询。具有较好的扩展性，可导出多种格式的excel表格。</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订单状态变化后，通过短信方式通知相关人员。</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每个订单对应1个工厂，一个订单有多个订单明细，每个订单明细对应一种商品，不通的订单明细，可以对应同一种商品。</w:t>
      </w:r>
    </w:p>
    <w:p>
      <w:pPr>
        <w:pStyle w:val="20"/>
        <w:widowControl/>
        <w:numPr>
          <w:ilvl w:val="0"/>
          <w:numId w:val="3"/>
        </w:numPr>
        <w:ind w:firstLineChars="0"/>
        <w:jc w:val="left"/>
        <w:rPr>
          <w:rFonts w:ascii="微软雅黑" w:hAnsi="微软雅黑" w:eastAsia="微软雅黑" w:cs="宋体"/>
          <w:color w:val="000000" w:themeColor="text1"/>
          <w:kern w:val="0"/>
          <w:sz w:val="24"/>
          <w:shd w:val="clear" w:color="auto" w:fill="FFFFFF"/>
          <w14:textFill>
            <w14:solidFill>
              <w14:schemeClr w14:val="tx1"/>
            </w14:solidFill>
          </w14:textFill>
        </w:rPr>
      </w:pPr>
      <w:r>
        <w:rPr>
          <w:rFonts w:hint="eastAsia" w:ascii="微软雅黑" w:hAnsi="微软雅黑" w:eastAsia="微软雅黑" w:cs="宋体"/>
          <w:kern w:val="0"/>
          <w:sz w:val="24"/>
          <w:shd w:val="clear" w:color="auto" w:fill="FFFFFF"/>
        </w:rPr>
        <w:t>一个报关资料（报关单），对应多个订单，一个订单也可以对应多次报关，</w:t>
      </w:r>
      <w:r>
        <w:rPr>
          <w:rFonts w:hint="eastAsia" w:ascii="微软雅黑" w:hAnsi="微软雅黑" w:eastAsia="微软雅黑" w:cs="宋体"/>
          <w:color w:val="000000" w:themeColor="text1"/>
          <w:kern w:val="0"/>
          <w:sz w:val="24"/>
          <w:shd w:val="clear" w:color="auto" w:fill="FFFFFF"/>
          <w14:textFill>
            <w14:solidFill>
              <w14:schemeClr w14:val="tx1"/>
            </w14:solidFill>
          </w14:textFill>
        </w:rPr>
        <w:t>一个订单明细只能对应一次报关资料。</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w:t>
      </w:r>
      <w:r>
        <w:rPr>
          <w:rFonts w:hint="eastAsia" w:ascii="微软雅黑" w:hAnsi="微软雅黑" w:eastAsia="微软雅黑" w:cs="宋体"/>
          <w:kern w:val="0"/>
          <w:sz w:val="24"/>
          <w:shd w:val="clear" w:color="auto" w:fill="FFFFFF"/>
          <w:lang w:val="en-US" w:eastAsia="zh-Hans"/>
        </w:rPr>
        <w:t>次</w:t>
      </w:r>
      <w:r>
        <w:rPr>
          <w:rFonts w:hint="eastAsia" w:ascii="微软雅黑" w:hAnsi="微软雅黑" w:eastAsia="微软雅黑" w:cs="宋体"/>
          <w:kern w:val="0"/>
          <w:sz w:val="24"/>
          <w:shd w:val="clear" w:color="auto" w:fill="FFFFFF"/>
        </w:rPr>
        <w:t>预约送货，对应多个订单，一个订单也可以对应多次送货。</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一个预约送货可对应不同订单的多个订单明细，一个订单明细可对应多次预约送货。</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送货数量可以由供应商调整（+-5%），**多于5%的数量应不让输入（需保证）**，不多于5%的数据飘红，缺少的货物数在5%以内的数据正常显示，缺少的在5%以上的飘绿</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可能存在供应商已有录入了大量数据的excel表（如数百行），可以读入已有的excel+系统上手动录入并存</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一般货物的图片可以不要，商检货物需提供照片（因商检货物比例较小，该部分流程如照片、报关资料可线下完成）</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报关单、发票、厢单、合同、商检单、厂检单、照片等报关资料（部分资料只有商检货物需要），系统回显</w:t>
      </w:r>
      <w:r>
        <w:rPr>
          <w:rFonts w:hint="eastAsia" w:ascii="微软雅黑" w:hAnsi="微软雅黑" w:eastAsia="微软雅黑" w:cs="宋体"/>
          <w:kern w:val="0"/>
          <w:sz w:val="24"/>
          <w:shd w:val="clear" w:color="auto" w:fill="FFFFFF"/>
          <w:lang w:val="en-US" w:eastAsia="zh-Hans"/>
        </w:rPr>
        <w:t>部分</w:t>
      </w:r>
      <w:r>
        <w:rPr>
          <w:rFonts w:hint="eastAsia" w:ascii="微软雅黑" w:hAnsi="微软雅黑" w:eastAsia="微软雅黑" w:cs="宋体"/>
          <w:kern w:val="0"/>
          <w:sz w:val="24"/>
          <w:shd w:val="clear" w:color="auto" w:fill="FFFFFF"/>
        </w:rPr>
        <w:t>能填写的数据，其它数据需由供应商下载excel填写后上传（如发票号、公章等）</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已经审核通过的数量范围内选择送货，默认送货量是通过的所有货物数，可以更改实际送货数量同时同步已通过但未送货的数量</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预约送货进仓单的时间段以小时为单位，区间8：30-16:30，审核送货进仓单（由仓库进行）可以拒绝（</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维护几个常用原因即可</w:t>
      </w:r>
      <w:r>
        <w:rPr>
          <w:rFonts w:hint="eastAsia" w:ascii="微软雅黑" w:hAnsi="微软雅黑" w:eastAsia="微软雅黑" w:cs="宋体"/>
          <w:kern w:val="0"/>
          <w:sz w:val="24"/>
          <w:shd w:val="clear" w:color="auto" w:fill="FFFFFF"/>
        </w:rPr>
        <w:t>）</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供应商会提供一个数据供参考，收货时会确认点数，收到的货与清单是否一致</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优力-工厂-关务-仓库，优力和仓库要看到所有订单的状态（具备管理员权限），关务只负责审核，工厂只负责自己的订单；优力需能查看、能下载所有供应商提供的资料，可以多账号，但角色权限一致（仓库同）</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现有系统导出的excel表1中receiving（含）开始往后的字段第一次导出的时候其实是没有数据的</w:t>
      </w:r>
    </w:p>
    <w:p>
      <w:pPr>
        <w:pStyle w:val="20"/>
        <w:widowControl/>
        <w:numPr>
          <w:ilvl w:val="0"/>
          <w:numId w:val="3"/>
        </w:numPr>
        <w:ind w:firstLineChars="0"/>
        <w:jc w:val="left"/>
        <w:rPr>
          <w:rFonts w:ascii="微软雅黑" w:hAnsi="微软雅黑" w:eastAsia="微软雅黑" w:cs="宋体"/>
          <w:kern w:val="0"/>
          <w:sz w:val="24"/>
          <w:shd w:val="clear" w:color="auto" w:fill="FFFFFF"/>
        </w:rPr>
      </w:pPr>
      <w:r>
        <w:rPr>
          <w:rFonts w:hint="eastAsia" w:ascii="微软雅黑" w:hAnsi="微软雅黑" w:eastAsia="微软雅黑" w:cs="宋体"/>
          <w:kern w:val="0"/>
          <w:sz w:val="24"/>
          <w:shd w:val="clear" w:color="auto" w:fill="FFFFFF"/>
        </w:rPr>
        <w:t>供应商需提供的单子（excel表2，如下）在系统上填（参考excel表1）然后导出，品名（含）及以后的字段都要供应商填写</w:t>
      </w:r>
    </w:p>
    <w:p>
      <w:pPr>
        <w:rPr>
          <w:color w:val="FF0000"/>
        </w:rPr>
      </w:pPr>
      <w:r>
        <w:drawing>
          <wp:inline distT="0" distB="0" distL="114300" distR="114300">
            <wp:extent cx="5556885" cy="3562985"/>
            <wp:effectExtent l="0" t="0" r="5715" b="5715"/>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a:picLocks noChangeAspect="1"/>
                    </pic:cNvPicPr>
                  </pic:nvPicPr>
                  <pic:blipFill>
                    <a:blip r:embed="rId14"/>
                    <a:stretch>
                      <a:fillRect/>
                    </a:stretch>
                  </pic:blipFill>
                  <pic:spPr>
                    <a:xfrm>
                      <a:off x="0" y="0"/>
                      <a:ext cx="5578757" cy="3577403"/>
                    </a:xfrm>
                    <a:prstGeom prst="rect">
                      <a:avLst/>
                    </a:prstGeom>
                    <a:noFill/>
                    <a:ln w="9525">
                      <a:noFill/>
                    </a:ln>
                  </pic:spPr>
                </pic:pic>
              </a:graphicData>
            </a:graphic>
          </wp:inline>
        </w:drawing>
      </w:r>
    </w:p>
    <w:p>
      <w:pPr>
        <w:pStyle w:val="2"/>
        <w:numPr>
          <w:ilvl w:val="0"/>
          <w:numId w:val="1"/>
        </w:numPr>
        <w:rPr>
          <w:shd w:val="clear" w:color="auto" w:fill="FFFFFF"/>
        </w:rPr>
      </w:pPr>
      <w:bookmarkStart w:id="29" w:name="_Toc73088975"/>
      <w:r>
        <w:rPr>
          <w:rFonts w:hint="eastAsia"/>
          <w:shd w:val="clear" w:color="auto" w:fill="FFFFFF"/>
        </w:rPr>
        <w:t>进一步确认单问题</w:t>
      </w:r>
      <w:bookmarkEnd w:id="29"/>
    </w:p>
    <w:p>
      <w:pPr>
        <w:pStyle w:val="20"/>
        <w:widowControl/>
        <w:ind w:firstLine="0" w:firstLineChars="0"/>
        <w:jc w:val="left"/>
        <w:rPr>
          <w:rFonts w:ascii="微软雅黑" w:hAnsi="微软雅黑" w:eastAsia="微软雅黑" w:cs="宋体"/>
          <w:color w:val="FF0000"/>
          <w:kern w:val="0"/>
          <w:sz w:val="24"/>
          <w:shd w:val="clear" w:color="auto" w:fill="FFFFFF"/>
        </w:rPr>
      </w:pPr>
      <w:r>
        <w:rPr>
          <w:rFonts w:hint="eastAsia" w:ascii="微软雅黑" w:hAnsi="微软雅黑" w:eastAsia="微软雅黑" w:cs="宋体"/>
          <w:color w:val="FF0000"/>
          <w:kern w:val="0"/>
          <w:sz w:val="24"/>
          <w:shd w:val="clear" w:color="auto" w:fill="FFFFFF"/>
        </w:rPr>
        <w:t>2</w:t>
      </w:r>
      <w:r>
        <w:rPr>
          <w:rFonts w:ascii="微软雅黑" w:hAnsi="微软雅黑" w:eastAsia="微软雅黑" w:cs="宋体"/>
          <w:color w:val="FF0000"/>
          <w:kern w:val="0"/>
          <w:sz w:val="24"/>
          <w:shd w:val="clear" w:color="auto" w:fill="FFFFFF"/>
        </w:rPr>
        <w:t xml:space="preserve">021.5.26 </w:t>
      </w:r>
      <w:r>
        <w:rPr>
          <w:rFonts w:hint="eastAsia" w:ascii="微软雅黑" w:hAnsi="微软雅黑" w:eastAsia="微软雅黑" w:cs="宋体"/>
          <w:color w:val="FF0000"/>
          <w:kern w:val="0"/>
          <w:sz w:val="24"/>
          <w:shd w:val="clear" w:color="auto" w:fill="FFFFFF"/>
        </w:rPr>
        <w:t>讨论存在的问题：</w:t>
      </w:r>
    </w:p>
    <w:p>
      <w:pPr>
        <w:pStyle w:val="25"/>
        <w:numPr>
          <w:ilvl w:val="0"/>
          <w:numId w:val="4"/>
        </w:numPr>
        <w:ind w:firstLineChars="0"/>
      </w:pPr>
      <w:r>
        <w:rPr>
          <w:rFonts w:hint="eastAsia"/>
        </w:rPr>
        <w:t>接收到pdf订单后导出的excel是一个excel文件有n个sheet还是n个excel文件</w:t>
      </w:r>
      <w:r>
        <w:t>。</w:t>
      </w:r>
    </w:p>
    <w:p>
      <w:pPr>
        <w:pStyle w:val="25"/>
        <w:numPr>
          <w:ilvl w:val="0"/>
          <w:numId w:val="4"/>
        </w:numPr>
        <w:ind w:firstLineChars="0"/>
      </w:pPr>
      <w:r>
        <w:rPr>
          <w:rFonts w:hint="eastAsia"/>
        </w:rPr>
        <w:t>如果有多个订单明细对应着同一种商品，报关是要这一种商品的所有订单明细一起报关还是可以分开报关</w:t>
      </w:r>
      <w:r>
        <w:t>。</w:t>
      </w:r>
      <w:r>
        <w:t>（</w:t>
      </w:r>
      <w:r>
        <w:rPr>
          <w:rFonts w:hint="eastAsia"/>
          <w:lang w:val="en-US" w:eastAsia="zh-Hans"/>
        </w:rPr>
        <w:t>可以分开</w:t>
      </w:r>
      <w:r>
        <w:rPr>
          <w:rFonts w:hint="default"/>
          <w:lang w:eastAsia="zh-Hans"/>
        </w:rPr>
        <w:t>）</w:t>
      </w:r>
    </w:p>
    <w:p>
      <w:pPr>
        <w:pStyle w:val="25"/>
        <w:numPr>
          <w:ilvl w:val="0"/>
          <w:numId w:val="4"/>
        </w:numPr>
        <w:ind w:firstLineChars="0"/>
      </w:pPr>
      <w:r>
        <w:rPr>
          <w:rFonts w:hint="eastAsia"/>
        </w:rPr>
        <w:t>报关失败重新提交报关资料是更新在原来的报关资料编号下还是一个新的报关编号</w:t>
      </w:r>
    </w:p>
    <w:p>
      <w:pPr>
        <w:pStyle w:val="25"/>
        <w:numPr>
          <w:ilvl w:val="0"/>
          <w:numId w:val="4"/>
        </w:numPr>
        <w:ind w:firstLineChars="0"/>
      </w:pPr>
      <w:r>
        <w:rPr>
          <w:rFonts w:hint="eastAsia"/>
        </w:rPr>
        <w:t>字段采用中文还是英文</w:t>
      </w:r>
      <w:r>
        <w:t>。</w:t>
      </w:r>
      <w:r>
        <w:t>（</w:t>
      </w:r>
      <w:r>
        <w:rPr>
          <w:rFonts w:hint="eastAsia"/>
          <w:lang w:val="en-US" w:eastAsia="zh-Hans"/>
        </w:rPr>
        <w:t>中文</w:t>
      </w:r>
      <w:r>
        <w:rPr>
          <w:rFonts w:hint="default"/>
          <w:lang w:eastAsia="zh-Hans"/>
        </w:rPr>
        <w:t>）</w:t>
      </w:r>
    </w:p>
    <w:p>
      <w:pPr>
        <w:pStyle w:val="25"/>
        <w:numPr>
          <w:ilvl w:val="0"/>
          <w:numId w:val="4"/>
        </w:numPr>
        <w:ind w:firstLineChars="0"/>
      </w:pPr>
      <w:r>
        <w:rPr>
          <w:rFonts w:hint="eastAsia"/>
        </w:rPr>
        <w:t>pdf的订单摘要与订单明细的具体对应关系</w:t>
      </w:r>
      <w:r>
        <w:t>。</w:t>
      </w:r>
    </w:p>
    <w:p>
      <w:pPr>
        <w:pStyle w:val="25"/>
        <w:numPr>
          <w:ilvl w:val="0"/>
          <w:numId w:val="4"/>
        </w:numPr>
        <w:ind w:firstLineChars="0"/>
      </w:pPr>
      <w:r>
        <w:rPr>
          <w:rFonts w:hint="eastAsia"/>
        </w:rPr>
        <w:t>报关状态，如果一部分订单明细报关失败，是否一定会重新报关，还是可能考虑放弃这部分订单明细的报关</w:t>
      </w:r>
      <w:r>
        <w:t>。</w:t>
      </w:r>
    </w:p>
    <w:p>
      <w:pPr>
        <w:pStyle w:val="20"/>
        <w:widowControl/>
        <w:ind w:firstLine="0" w:firstLineChars="0"/>
        <w:jc w:val="left"/>
        <w:rPr>
          <w:rFonts w:ascii="微软雅黑" w:hAnsi="微软雅黑" w:eastAsia="微软雅黑" w:cs="宋体"/>
          <w:color w:val="FF0000"/>
          <w:kern w:val="0"/>
          <w:sz w:val="24"/>
          <w:shd w:val="clear" w:color="auto" w:fill="FFFFFF"/>
        </w:rPr>
      </w:pPr>
    </w:p>
    <w:p>
      <w:pPr>
        <w:pStyle w:val="20"/>
        <w:widowControl/>
        <w:ind w:firstLine="0" w:firstLineChars="0"/>
        <w:jc w:val="left"/>
        <w:rPr>
          <w:rFonts w:hint="default" w:ascii="微软雅黑" w:hAnsi="微软雅黑" w:eastAsia="微软雅黑" w:cs="宋体"/>
          <w:color w:val="FF0000"/>
          <w:kern w:val="0"/>
          <w:sz w:val="24"/>
          <w:shd w:val="clear" w:color="auto" w:fill="FFFFFF"/>
          <w:lang w:eastAsia="zh-Hans"/>
        </w:rPr>
      </w:pPr>
      <w:r>
        <w:rPr>
          <w:rFonts w:ascii="微软雅黑" w:hAnsi="微软雅黑" w:eastAsia="微软雅黑" w:cs="宋体"/>
          <w:color w:val="FF0000"/>
          <w:kern w:val="0"/>
          <w:sz w:val="24"/>
          <w:shd w:val="clear" w:color="auto" w:fill="FFFFFF"/>
        </w:rPr>
        <w:t>2021.6.10</w:t>
      </w:r>
      <w:r>
        <w:rPr>
          <w:rFonts w:hint="eastAsia" w:ascii="微软雅黑" w:hAnsi="微软雅黑" w:eastAsia="微软雅黑" w:cs="宋体"/>
          <w:color w:val="FF0000"/>
          <w:kern w:val="0"/>
          <w:sz w:val="24"/>
          <w:shd w:val="clear" w:color="auto" w:fill="FFFFFF"/>
          <w:lang w:val="en-US" w:eastAsia="zh-Hans"/>
        </w:rPr>
        <w:t>日会议</w:t>
      </w:r>
      <w:r>
        <w:rPr>
          <w:rFonts w:hint="default" w:ascii="微软雅黑" w:hAnsi="微软雅黑" w:eastAsia="微软雅黑" w:cs="宋体"/>
          <w:color w:val="FF0000"/>
          <w:kern w:val="0"/>
          <w:sz w:val="24"/>
          <w:shd w:val="clear" w:color="auto" w:fill="FFFFFF"/>
          <w:lang w:eastAsia="zh-Hans"/>
        </w:rPr>
        <w:t>：</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工厂的账号是管理员分配的，无法创建账号（所有账号统一由管理员创建、维护、分配）。</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可以手动终止订单的状态，或者删除订单（保证特殊情况可以终止某个订单，要分配权限）。</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报关资料</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的下载中</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供应商</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下载的是系统根据选择的订单明细生成的</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待完善资料</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；关务下载的是供应商上传完的完整资</w:t>
      </w:r>
      <w:bookmarkStart w:id="30" w:name="_GoBack"/>
      <w:bookmarkEnd w:id="30"/>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料。</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预约送货中</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当进入</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受理中状态，供应商就不能再更改送货信息了；预约失败的话，供应商就可以更改、重填一些信息了。</w:t>
      </w:r>
    </w:p>
    <w:p>
      <w:pPr>
        <w:pStyle w:val="20"/>
        <w:widowControl/>
        <w:numPr>
          <w:ilvl w:val="0"/>
          <w:numId w:val="5"/>
        </w:numPr>
        <w:ind w:firstLine="0" w:firstLineChars="0"/>
        <w:jc w:val="left"/>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pP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进仓计划的柱状图</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r>
        <w:rPr>
          <w:rFonts w:hint="eastAsia" w:ascii="微软雅黑" w:hAnsi="微软雅黑" w:eastAsia="微软雅黑" w:cs="宋体"/>
          <w:color w:val="000000" w:themeColor="text1"/>
          <w:kern w:val="0"/>
          <w:sz w:val="24"/>
          <w:shd w:val="clear" w:color="auto" w:fill="FFFFFF"/>
          <w:lang w:val="en-US" w:eastAsia="zh-Hans"/>
          <w14:textFill>
            <w14:solidFill>
              <w14:schemeClr w14:val="tx1"/>
            </w14:solidFill>
          </w14:textFill>
        </w:rPr>
        <w:t>可以后续开发中再做</w:t>
      </w:r>
      <w:r>
        <w:rPr>
          <w:rFonts w:hint="default" w:ascii="微软雅黑" w:hAnsi="微软雅黑" w:eastAsia="微软雅黑" w:cs="宋体"/>
          <w:color w:val="000000" w:themeColor="text1"/>
          <w:kern w:val="0"/>
          <w:sz w:val="24"/>
          <w:shd w:val="clear" w:color="auto" w:fill="FFFFFF"/>
          <w:lang w:eastAsia="zh-Hans"/>
          <w14:textFill>
            <w14:solidFill>
              <w14:schemeClr w14:val="tx1"/>
            </w14:solidFill>
          </w14:textFill>
        </w:rPr>
        <w:t>。</w:t>
      </w:r>
    </w:p>
    <w:p>
      <w:pPr>
        <w:widowControl/>
        <w:jc w:val="left"/>
        <w:rPr>
          <w:rFonts w:ascii="微软雅黑" w:hAnsi="微软雅黑" w:eastAsia="微软雅黑" w:cs="宋体"/>
          <w:color w:val="FF0000"/>
          <w:kern w:val="0"/>
          <w:sz w:val="24"/>
          <w:shd w:val="clear" w:color="auto" w:fill="FFFFFF"/>
        </w:rPr>
      </w:pPr>
      <w:r>
        <w:rPr>
          <w:rFonts w:ascii="微软雅黑" w:hAnsi="微软雅黑" w:eastAsia="微软雅黑" w:cs="宋体"/>
          <w:color w:val="FF0000"/>
          <w:kern w:val="0"/>
          <w:sz w:val="24"/>
          <w:shd w:val="clear" w:color="auto" w:fill="FFFFFF"/>
        </w:rPr>
        <w:br w:type="page"/>
      </w:r>
    </w:p>
    <w:p/>
    <w:sectPr>
      <w:footerReference r:id="rId3" w:type="default"/>
      <w:footerReference r:id="rId4"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Helvetica">
    <w:panose1 w:val="00000000000000000000"/>
    <w:charset w:val="00"/>
    <w:family w:val="auto"/>
    <w:pitch w:val="default"/>
    <w:sig w:usb0="E00002FF" w:usb1="5000785B" w:usb2="00000000" w:usb3="00000000" w:csb0="2000019F" w:csb1="4F010000"/>
  </w:font>
  <w:font w:name="微软雅黑">
    <w:altName w:val="汉仪旗黑"/>
    <w:panose1 w:val="020B0503020204020204"/>
    <w:charset w:val="86"/>
    <w:family w:val="swiss"/>
    <w:pitch w:val="default"/>
    <w:sig w:usb0="00000000" w:usb1="00000000" w:usb2="00000016" w:usb3="00000000" w:csb0="0004001F" w:csb1="00000000"/>
  </w:font>
  <w:font w:name="Apple Color Emoji">
    <w:panose1 w:val="00000000000000000000"/>
    <w:charset w:val="00"/>
    <w:family w:val="auto"/>
    <w:pitch w:val="default"/>
    <w:sig w:usb0="00000003" w:usb1="18000000" w:usb2="14000000" w:usb3="00000000" w:csb0="0000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Open Sans">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0"/>
    </w:sdtPr>
    <w:sdtEndPr>
      <w:rPr>
        <w:rStyle w:val="16"/>
      </w:rPr>
    </w:sdtEndPr>
    <w:sdtContent>
      <w:p>
        <w:pPr>
          <w:pStyle w:val="7"/>
          <w:framePr w:wrap="around" w:vAnchor="text" w:hAnchor="page" w:x="5679" w:y="5"/>
          <w:rPr>
            <w:rStyle w:val="16"/>
          </w:rPr>
        </w:pPr>
        <w:r>
          <w:rPr>
            <w:rStyle w:val="16"/>
          </w:rPr>
          <w:fldChar w:fldCharType="begin"/>
        </w:r>
        <w:r>
          <w:rPr>
            <w:rStyle w:val="16"/>
          </w:rPr>
          <w:instrText xml:space="preserve"> PAGE </w:instrText>
        </w:r>
        <w:r>
          <w:rPr>
            <w:rStyle w:val="16"/>
          </w:rPr>
          <w:fldChar w:fldCharType="separate"/>
        </w:r>
        <w:r>
          <w:rPr>
            <w:rStyle w:val="16"/>
          </w:rPr>
          <w:t>2</w:t>
        </w:r>
        <w:r>
          <w:rPr>
            <w:rStyle w:val="16"/>
          </w:rPr>
          <w:fldChar w:fldCharType="end"/>
        </w:r>
      </w:p>
    </w:sdtContent>
  </w:sdt>
  <w:p>
    <w:pPr>
      <w:pStyle w:val="7"/>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6"/>
      </w:rPr>
      <w:id w:val="1977023983"/>
    </w:sdtPr>
    <w:sdtEndPr>
      <w:rPr>
        <w:rStyle w:val="16"/>
      </w:rPr>
    </w:sdtEndPr>
    <w:sdtContent>
      <w:p>
        <w:pPr>
          <w:pStyle w:val="7"/>
          <w:framePr w:wrap="around" w:vAnchor="text" w:hAnchor="margin" w:xAlign="right" w:y="1"/>
          <w:rPr>
            <w:rStyle w:val="16"/>
          </w:rPr>
        </w:pPr>
        <w:r>
          <w:rPr>
            <w:rStyle w:val="16"/>
          </w:rPr>
          <w:fldChar w:fldCharType="begin"/>
        </w:r>
        <w:r>
          <w:rPr>
            <w:rStyle w:val="16"/>
          </w:rPr>
          <w:instrText xml:space="preserve"> PAGE </w:instrText>
        </w:r>
        <w:r>
          <w:rPr>
            <w:rStyle w:val="16"/>
          </w:rPr>
          <w:fldChar w:fldCharType="end"/>
        </w:r>
      </w:p>
    </w:sdtContent>
  </w:sdt>
  <w:p>
    <w:pPr>
      <w:pStyle w:val="7"/>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B2C04"/>
    <w:multiLevelType w:val="multilevel"/>
    <w:tmpl w:val="08FB2C04"/>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BFD6889"/>
    <w:multiLevelType w:val="multilevel"/>
    <w:tmpl w:val="1BFD688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5A40566"/>
    <w:multiLevelType w:val="multilevel"/>
    <w:tmpl w:val="35A4056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A4DBE1"/>
    <w:multiLevelType w:val="multilevel"/>
    <w:tmpl w:val="60A4DBE1"/>
    <w:lvl w:ilvl="0" w:tentative="0">
      <w:start w:val="5"/>
      <w:numFmt w:val="decimal"/>
      <w:suff w:val="nothing"/>
      <w:lvlText w:val="%1、"/>
      <w:lvlJc w:val="left"/>
    </w:lvl>
    <w:lvl w:ilvl="1" w:tentative="0">
      <w:start w:val="1"/>
      <w:numFmt w:val="lowerLetter"/>
      <w:lvlText w:val="%2)"/>
      <w:lvlJc w:val="left"/>
      <w:pPr>
        <w:tabs>
          <w:tab w:val="left" w:pos="420"/>
        </w:tabs>
        <w:ind w:left="42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4">
    <w:nsid w:val="60C85012"/>
    <w:multiLevelType w:val="singleLevel"/>
    <w:tmpl w:val="60C85012"/>
    <w:lvl w:ilvl="0" w:tentative="0">
      <w:start w:val="1"/>
      <w:numFmt w:val="decimal"/>
      <w:suff w:val="nothing"/>
      <w:lvlText w:val="%1、"/>
      <w:lvlJc w:val="left"/>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FB"/>
    <w:rsid w:val="000041DB"/>
    <w:rsid w:val="00005A14"/>
    <w:rsid w:val="000066A7"/>
    <w:rsid w:val="00036395"/>
    <w:rsid w:val="000406DF"/>
    <w:rsid w:val="00074940"/>
    <w:rsid w:val="000945A3"/>
    <w:rsid w:val="000A7762"/>
    <w:rsid w:val="000B1C12"/>
    <w:rsid w:val="000C2CA9"/>
    <w:rsid w:val="000C30D7"/>
    <w:rsid w:val="000D564C"/>
    <w:rsid w:val="000F6981"/>
    <w:rsid w:val="00104004"/>
    <w:rsid w:val="00113EE0"/>
    <w:rsid w:val="0011733A"/>
    <w:rsid w:val="00124537"/>
    <w:rsid w:val="00131988"/>
    <w:rsid w:val="001424CC"/>
    <w:rsid w:val="00150A73"/>
    <w:rsid w:val="001573C3"/>
    <w:rsid w:val="00197F6F"/>
    <w:rsid w:val="001A2D9A"/>
    <w:rsid w:val="001A495B"/>
    <w:rsid w:val="001A4ECD"/>
    <w:rsid w:val="001A65FB"/>
    <w:rsid w:val="001A7107"/>
    <w:rsid w:val="001B11A4"/>
    <w:rsid w:val="001B257D"/>
    <w:rsid w:val="001E7AC3"/>
    <w:rsid w:val="001F1397"/>
    <w:rsid w:val="001F4D8D"/>
    <w:rsid w:val="001F6D9F"/>
    <w:rsid w:val="00203405"/>
    <w:rsid w:val="00212955"/>
    <w:rsid w:val="00216B4F"/>
    <w:rsid w:val="00245522"/>
    <w:rsid w:val="00260C22"/>
    <w:rsid w:val="00265DE2"/>
    <w:rsid w:val="00272D8C"/>
    <w:rsid w:val="00274087"/>
    <w:rsid w:val="00280884"/>
    <w:rsid w:val="00292A18"/>
    <w:rsid w:val="002A0F1E"/>
    <w:rsid w:val="002B5B99"/>
    <w:rsid w:val="002B65D7"/>
    <w:rsid w:val="002E0CC0"/>
    <w:rsid w:val="002F03A6"/>
    <w:rsid w:val="002F064A"/>
    <w:rsid w:val="00324EA4"/>
    <w:rsid w:val="0033465A"/>
    <w:rsid w:val="00335D27"/>
    <w:rsid w:val="003423B8"/>
    <w:rsid w:val="00354623"/>
    <w:rsid w:val="00362C4F"/>
    <w:rsid w:val="00375BA0"/>
    <w:rsid w:val="003A77FC"/>
    <w:rsid w:val="003D261E"/>
    <w:rsid w:val="003F1440"/>
    <w:rsid w:val="00401E30"/>
    <w:rsid w:val="00406BC8"/>
    <w:rsid w:val="00421941"/>
    <w:rsid w:val="00421D2C"/>
    <w:rsid w:val="004553C6"/>
    <w:rsid w:val="004558A1"/>
    <w:rsid w:val="004814C0"/>
    <w:rsid w:val="004B1A3F"/>
    <w:rsid w:val="004B5423"/>
    <w:rsid w:val="004D3C2C"/>
    <w:rsid w:val="004F3496"/>
    <w:rsid w:val="0050108B"/>
    <w:rsid w:val="00505CFA"/>
    <w:rsid w:val="00531941"/>
    <w:rsid w:val="00552549"/>
    <w:rsid w:val="00557228"/>
    <w:rsid w:val="00563D1B"/>
    <w:rsid w:val="00564356"/>
    <w:rsid w:val="0057584F"/>
    <w:rsid w:val="00596740"/>
    <w:rsid w:val="005A085D"/>
    <w:rsid w:val="005B0D3F"/>
    <w:rsid w:val="005B4617"/>
    <w:rsid w:val="005C197D"/>
    <w:rsid w:val="005D50AE"/>
    <w:rsid w:val="005E6818"/>
    <w:rsid w:val="005F6144"/>
    <w:rsid w:val="006017E4"/>
    <w:rsid w:val="006107F4"/>
    <w:rsid w:val="00622361"/>
    <w:rsid w:val="00622C3B"/>
    <w:rsid w:val="00634F3E"/>
    <w:rsid w:val="006535EB"/>
    <w:rsid w:val="00660B65"/>
    <w:rsid w:val="006763F0"/>
    <w:rsid w:val="006957D0"/>
    <w:rsid w:val="006968FC"/>
    <w:rsid w:val="006A5C3E"/>
    <w:rsid w:val="006B0475"/>
    <w:rsid w:val="006C0004"/>
    <w:rsid w:val="006D22B3"/>
    <w:rsid w:val="006D4644"/>
    <w:rsid w:val="006D77CC"/>
    <w:rsid w:val="006E47DE"/>
    <w:rsid w:val="006F35B5"/>
    <w:rsid w:val="00711AA3"/>
    <w:rsid w:val="00716EEB"/>
    <w:rsid w:val="007309B5"/>
    <w:rsid w:val="007331A1"/>
    <w:rsid w:val="00737267"/>
    <w:rsid w:val="00743AAF"/>
    <w:rsid w:val="00753799"/>
    <w:rsid w:val="0076656B"/>
    <w:rsid w:val="00771261"/>
    <w:rsid w:val="00780173"/>
    <w:rsid w:val="007963F5"/>
    <w:rsid w:val="007C1EA3"/>
    <w:rsid w:val="007C3ED2"/>
    <w:rsid w:val="007C4DF6"/>
    <w:rsid w:val="007D3FB6"/>
    <w:rsid w:val="007D6407"/>
    <w:rsid w:val="007E1BCC"/>
    <w:rsid w:val="007E57CA"/>
    <w:rsid w:val="007E5A11"/>
    <w:rsid w:val="007F5FD2"/>
    <w:rsid w:val="008266A7"/>
    <w:rsid w:val="00853243"/>
    <w:rsid w:val="00854A09"/>
    <w:rsid w:val="008648DA"/>
    <w:rsid w:val="0086731C"/>
    <w:rsid w:val="00871D42"/>
    <w:rsid w:val="008724EF"/>
    <w:rsid w:val="008802DA"/>
    <w:rsid w:val="008A40EA"/>
    <w:rsid w:val="008C72D7"/>
    <w:rsid w:val="008E07D1"/>
    <w:rsid w:val="008F2D54"/>
    <w:rsid w:val="00905B64"/>
    <w:rsid w:val="00924E51"/>
    <w:rsid w:val="009349C2"/>
    <w:rsid w:val="00936432"/>
    <w:rsid w:val="00946C99"/>
    <w:rsid w:val="00964EB4"/>
    <w:rsid w:val="00972A50"/>
    <w:rsid w:val="009A7D90"/>
    <w:rsid w:val="009B0836"/>
    <w:rsid w:val="009B7BE7"/>
    <w:rsid w:val="009C51DC"/>
    <w:rsid w:val="009D232C"/>
    <w:rsid w:val="00A20B84"/>
    <w:rsid w:val="00A430FB"/>
    <w:rsid w:val="00A55C58"/>
    <w:rsid w:val="00A55D37"/>
    <w:rsid w:val="00A8777C"/>
    <w:rsid w:val="00A87C53"/>
    <w:rsid w:val="00A953E4"/>
    <w:rsid w:val="00AA52FE"/>
    <w:rsid w:val="00AC72EF"/>
    <w:rsid w:val="00AC7E8D"/>
    <w:rsid w:val="00AD4CEB"/>
    <w:rsid w:val="00B0438E"/>
    <w:rsid w:val="00B33D79"/>
    <w:rsid w:val="00B4066A"/>
    <w:rsid w:val="00B412FF"/>
    <w:rsid w:val="00B4723C"/>
    <w:rsid w:val="00B512CC"/>
    <w:rsid w:val="00B76860"/>
    <w:rsid w:val="00B9248C"/>
    <w:rsid w:val="00B96AAA"/>
    <w:rsid w:val="00BC1745"/>
    <w:rsid w:val="00BE3DFC"/>
    <w:rsid w:val="00C024DC"/>
    <w:rsid w:val="00C347FB"/>
    <w:rsid w:val="00C45D2B"/>
    <w:rsid w:val="00C5263F"/>
    <w:rsid w:val="00C825F5"/>
    <w:rsid w:val="00CA0B8A"/>
    <w:rsid w:val="00CA25FC"/>
    <w:rsid w:val="00CA5203"/>
    <w:rsid w:val="00CB4A1F"/>
    <w:rsid w:val="00CD52A6"/>
    <w:rsid w:val="00CE7CB9"/>
    <w:rsid w:val="00CF15AE"/>
    <w:rsid w:val="00CF3B7F"/>
    <w:rsid w:val="00D20BDB"/>
    <w:rsid w:val="00D210F6"/>
    <w:rsid w:val="00D23730"/>
    <w:rsid w:val="00D40A00"/>
    <w:rsid w:val="00D53622"/>
    <w:rsid w:val="00D65DD0"/>
    <w:rsid w:val="00DA16AB"/>
    <w:rsid w:val="00DA224C"/>
    <w:rsid w:val="00DA3B29"/>
    <w:rsid w:val="00DC2376"/>
    <w:rsid w:val="00DC702D"/>
    <w:rsid w:val="00E06F94"/>
    <w:rsid w:val="00E12D8B"/>
    <w:rsid w:val="00E17E2A"/>
    <w:rsid w:val="00E234D8"/>
    <w:rsid w:val="00E35E76"/>
    <w:rsid w:val="00E41264"/>
    <w:rsid w:val="00E71449"/>
    <w:rsid w:val="00EC04E3"/>
    <w:rsid w:val="00EC4645"/>
    <w:rsid w:val="00EE0945"/>
    <w:rsid w:val="00F23EA9"/>
    <w:rsid w:val="00F25FF2"/>
    <w:rsid w:val="00F4144C"/>
    <w:rsid w:val="00F80598"/>
    <w:rsid w:val="00F9456C"/>
    <w:rsid w:val="00FB2C38"/>
    <w:rsid w:val="00FC3CD9"/>
    <w:rsid w:val="00FD448B"/>
    <w:rsid w:val="00FE504B"/>
    <w:rsid w:val="4FAF0833"/>
    <w:rsid w:val="7EFB8544"/>
    <w:rsid w:val="7FDF6D62"/>
    <w:rsid w:val="B8BC2A28"/>
    <w:rsid w:val="F77BB62F"/>
    <w:rsid w:val="FEFBF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qFormat="1" w:uiPriority="39" w:name="toc 4"/>
    <w:lsdException w:qFormat="1" w:uiPriority="39" w:name="toc 5"/>
    <w:lsdException w:uiPriority="39" w:name="toc 6"/>
    <w:lsdException w:uiPriority="39" w:name="toc 7"/>
    <w:lsdException w:qFormat="1"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character" w:default="1" w:styleId="15">
    <w:name w:val="Default Paragraph Font"/>
    <w:unhideWhenUsed/>
    <w:qFormat/>
    <w:uiPriority w:val="1"/>
  </w:style>
  <w:style w:type="table" w:default="1" w:styleId="18">
    <w:name w:val="Normal Table"/>
    <w:unhideWhenUsed/>
    <w:qFormat/>
    <w:uiPriority w:val="99"/>
    <w:tblPr>
      <w:tblCellMar>
        <w:top w:w="0" w:type="dxa"/>
        <w:left w:w="108" w:type="dxa"/>
        <w:bottom w:w="0" w:type="dxa"/>
        <w:right w:w="108" w:type="dxa"/>
      </w:tblCellMar>
    </w:tblPr>
  </w:style>
  <w:style w:type="paragraph" w:styleId="3">
    <w:name w:val="toc 7"/>
    <w:basedOn w:val="1"/>
    <w:next w:val="1"/>
    <w:unhideWhenUsed/>
    <w:uiPriority w:val="39"/>
    <w:pPr>
      <w:ind w:left="1260"/>
      <w:jc w:val="left"/>
    </w:pPr>
    <w:rPr>
      <w:rFonts w:eastAsiaTheme="minorHAnsi"/>
      <w:sz w:val="20"/>
      <w:szCs w:val="20"/>
    </w:rPr>
  </w:style>
  <w:style w:type="paragraph" w:styleId="4">
    <w:name w:val="toc 5"/>
    <w:basedOn w:val="1"/>
    <w:next w:val="1"/>
    <w:unhideWhenUsed/>
    <w:qFormat/>
    <w:uiPriority w:val="39"/>
    <w:pPr>
      <w:ind w:left="840"/>
      <w:jc w:val="left"/>
    </w:pPr>
    <w:rPr>
      <w:rFonts w:eastAsiaTheme="minorHAnsi"/>
      <w:sz w:val="20"/>
      <w:szCs w:val="20"/>
    </w:rPr>
  </w:style>
  <w:style w:type="paragraph" w:styleId="5">
    <w:name w:val="toc 3"/>
    <w:basedOn w:val="1"/>
    <w:next w:val="1"/>
    <w:unhideWhenUsed/>
    <w:qFormat/>
    <w:uiPriority w:val="39"/>
    <w:pPr>
      <w:ind w:left="420"/>
      <w:jc w:val="left"/>
    </w:pPr>
    <w:rPr>
      <w:rFonts w:eastAsiaTheme="minorHAnsi"/>
      <w:sz w:val="20"/>
      <w:szCs w:val="20"/>
    </w:rPr>
  </w:style>
  <w:style w:type="paragraph" w:styleId="6">
    <w:name w:val="toc 8"/>
    <w:basedOn w:val="1"/>
    <w:next w:val="1"/>
    <w:unhideWhenUsed/>
    <w:qFormat/>
    <w:uiPriority w:val="39"/>
    <w:pPr>
      <w:ind w:left="1470"/>
      <w:jc w:val="left"/>
    </w:pPr>
    <w:rPr>
      <w:rFonts w:eastAsiaTheme="minorHAnsi"/>
      <w:sz w:val="20"/>
      <w:szCs w:val="20"/>
    </w:rPr>
  </w:style>
  <w:style w:type="paragraph" w:styleId="7">
    <w:name w:val="footer"/>
    <w:basedOn w:val="1"/>
    <w:link w:val="28"/>
    <w:unhideWhenUsed/>
    <w:qFormat/>
    <w:uiPriority w:val="99"/>
    <w:pPr>
      <w:tabs>
        <w:tab w:val="center" w:pos="4153"/>
        <w:tab w:val="right" w:pos="8306"/>
      </w:tabs>
      <w:snapToGrid w:val="0"/>
      <w:jc w:val="left"/>
    </w:pPr>
    <w:rPr>
      <w:sz w:val="18"/>
      <w:szCs w:val="18"/>
    </w:rPr>
  </w:style>
  <w:style w:type="paragraph" w:styleId="8">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spacing w:before="120"/>
      <w:jc w:val="left"/>
    </w:pPr>
    <w:rPr>
      <w:rFonts w:eastAsiaTheme="minorHAnsi"/>
      <w:b/>
      <w:bCs/>
      <w:i/>
      <w:iCs/>
      <w:sz w:val="24"/>
    </w:rPr>
  </w:style>
  <w:style w:type="paragraph" w:styleId="10">
    <w:name w:val="toc 4"/>
    <w:basedOn w:val="1"/>
    <w:next w:val="1"/>
    <w:unhideWhenUsed/>
    <w:qFormat/>
    <w:uiPriority w:val="39"/>
    <w:pPr>
      <w:ind w:left="630"/>
      <w:jc w:val="left"/>
    </w:pPr>
    <w:rPr>
      <w:rFonts w:eastAsiaTheme="minorHAnsi"/>
      <w:sz w:val="20"/>
      <w:szCs w:val="20"/>
    </w:rPr>
  </w:style>
  <w:style w:type="paragraph" w:styleId="11">
    <w:name w:val="toc 6"/>
    <w:basedOn w:val="1"/>
    <w:next w:val="1"/>
    <w:unhideWhenUsed/>
    <w:uiPriority w:val="39"/>
    <w:pPr>
      <w:ind w:left="1050"/>
      <w:jc w:val="left"/>
    </w:pPr>
    <w:rPr>
      <w:rFonts w:eastAsiaTheme="minorHAnsi"/>
      <w:sz w:val="20"/>
      <w:szCs w:val="20"/>
    </w:rPr>
  </w:style>
  <w:style w:type="paragraph" w:styleId="12">
    <w:name w:val="toc 2"/>
    <w:basedOn w:val="1"/>
    <w:next w:val="1"/>
    <w:unhideWhenUsed/>
    <w:uiPriority w:val="39"/>
    <w:pPr>
      <w:spacing w:before="120"/>
      <w:ind w:left="210"/>
      <w:jc w:val="left"/>
    </w:pPr>
    <w:rPr>
      <w:rFonts w:eastAsiaTheme="minorHAnsi"/>
      <w:b/>
      <w:bCs/>
      <w:sz w:val="22"/>
      <w:szCs w:val="22"/>
    </w:rPr>
  </w:style>
  <w:style w:type="paragraph" w:styleId="13">
    <w:name w:val="toc 9"/>
    <w:basedOn w:val="1"/>
    <w:next w:val="1"/>
    <w:unhideWhenUsed/>
    <w:uiPriority w:val="39"/>
    <w:pPr>
      <w:ind w:left="1680"/>
      <w:jc w:val="left"/>
    </w:pPr>
    <w:rPr>
      <w:rFonts w:eastAsiaTheme="minorHAnsi"/>
      <w:sz w:val="20"/>
      <w:szCs w:val="20"/>
    </w:rPr>
  </w:style>
  <w:style w:type="paragraph" w:styleId="14">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16">
    <w:name w:val="page number"/>
    <w:basedOn w:val="15"/>
    <w:unhideWhenUsed/>
    <w:qFormat/>
    <w:uiPriority w:val="99"/>
  </w:style>
  <w:style w:type="character" w:styleId="17">
    <w:name w:val="Hyperlink"/>
    <w:basedOn w:val="15"/>
    <w:unhideWhenUsed/>
    <w:uiPriority w:val="99"/>
    <w:rPr>
      <w:color w:val="0563C1" w:themeColor="hyperlink"/>
      <w:u w:val="single"/>
      <w14:textFill>
        <w14:solidFill>
          <w14:schemeClr w14:val="hlink"/>
        </w14:solidFill>
      </w14:textFill>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20">
    <w:name w:val="列表段落1"/>
    <w:basedOn w:val="1"/>
    <w:qFormat/>
    <w:uiPriority w:val="99"/>
    <w:pPr>
      <w:ind w:firstLine="420" w:firstLineChars="200"/>
    </w:pPr>
  </w:style>
  <w:style w:type="character" w:customStyle="1" w:styleId="21">
    <w:name w:val="标题 1 字符"/>
    <w:basedOn w:val="15"/>
    <w:link w:val="2"/>
    <w:qFormat/>
    <w:uiPriority w:val="9"/>
    <w:rPr>
      <w:b/>
      <w:bCs/>
      <w:kern w:val="44"/>
      <w:sz w:val="44"/>
      <w:szCs w:val="44"/>
    </w:rPr>
  </w:style>
  <w:style w:type="paragraph" w:customStyle="1" w:styleId="22">
    <w:name w:val="WPSOffice手动目录 1"/>
    <w:qFormat/>
    <w:uiPriority w:val="0"/>
    <w:rPr>
      <w:rFonts w:asciiTheme="minorHAnsi" w:hAnsiTheme="minorHAnsi" w:eastAsiaTheme="minorEastAsia" w:cstheme="minorBidi"/>
      <w:lang w:val="en-US" w:eastAsia="zh-CN" w:bidi="ar-SA"/>
    </w:rPr>
  </w:style>
  <w:style w:type="paragraph" w:customStyle="1" w:styleId="23">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4">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25">
    <w:name w:val="List Paragraph"/>
    <w:basedOn w:val="1"/>
    <w:qFormat/>
    <w:uiPriority w:val="99"/>
    <w:pPr>
      <w:ind w:firstLine="420" w:firstLineChars="200"/>
    </w:pPr>
  </w:style>
  <w:style w:type="paragraph" w:customStyle="1" w:styleId="26">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27">
    <w:name w:val="页眉 字符"/>
    <w:basedOn w:val="15"/>
    <w:link w:val="8"/>
    <w:qFormat/>
    <w:uiPriority w:val="99"/>
    <w:rPr>
      <w:kern w:val="2"/>
      <w:sz w:val="18"/>
      <w:szCs w:val="18"/>
    </w:rPr>
  </w:style>
  <w:style w:type="character" w:customStyle="1" w:styleId="28">
    <w:name w:val="页脚 字符"/>
    <w:basedOn w:val="15"/>
    <w:link w:val="7"/>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760</Words>
  <Characters>4336</Characters>
  <Lines>36</Lines>
  <Paragraphs>10</Paragraphs>
  <TotalTime>0</TotalTime>
  <ScaleCrop>false</ScaleCrop>
  <LinksUpToDate>false</LinksUpToDate>
  <CharactersWithSpaces>5086</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2021-05-28T09:24:00Z</dcterms:created>
  <dc:creator>程学林</dc:creator>
  <cp:lastModifiedBy>xiaochengsong</cp:lastModifiedBy>
  <cp:lastPrinted>2021-05-21T08:16:00Z</cp:lastPrinted>
  <dcterms:modified xsi:type="dcterms:W3CDTF">2021-06-15T15:01:41Z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