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pPr>
      <w:r>
        <w:rPr>
          <w:rFonts w:ascii="Gill Sans MT" w:cs="Gill Sans MT" w:eastAsia="Gill Sans MT" w:hAnsi="Gill Sans MT"/>
          <w:b/>
          <w:bCs/>
          <w:color w:val="000000"/>
          <w:sz w:val="26"/>
          <w:szCs w:val="26"/>
        </w:rPr>
        <w:t xml:space="preserve">Cross-Project Bug Localization: Pre-Submission Checklist</w:t>
      </w:r>
    </w:p>
    <w:p>
      <w:pPr>
        <w:spacing w:after="160" w:line="240"/>
        <w:jc w:val="left"/>
      </w:pPr>
      <w:r>
        <w:rPr>
          <w:rFonts w:ascii="Gill Sans MT" w:cs="Gill Sans MT" w:eastAsia="Gill Sans MT" w:hAnsi="Gill Sans MT"/>
          <w:b w:val="false"/>
          <w:bCs w:val="false"/>
          <w:i w:val="false"/>
          <w:iCs w:val="false"/>
          <w:color w:val="000000"/>
          <w:sz w:val="18"/>
          <w:szCs w:val="18"/>
        </w:rPr>
        <w:t xml:space="preserve">To A Eashaan Rao. From Sridhar Chimalakonda. RISHA Lab, IIT Tirupati. Reference: the current 29-page manuscript. Target venue: Journal of Systems and Software.</w:t>
      </w:r>
    </w:p>
    <w:p>
      <w:pPr>
        <w:spacing w:after="100" w:line="240"/>
        <w:jc w:val="left"/>
      </w:pPr>
      <w:r>
        <w:rPr>
          <w:rFonts w:ascii="Gill Sans MT" w:cs="Gill Sans MT" w:eastAsia="Gill Sans MT" w:hAnsi="Gill Sans MT"/>
          <w:b w:val="false"/>
          <w:bCs w:val="false"/>
          <w:i w:val="false"/>
          <w:iCs w:val="false"/>
          <w:color w:val="000000"/>
          <w:sz w:val="18"/>
          <w:szCs w:val="18"/>
        </w:rPr>
        <w:t xml:space="preserve">The metric correction has landed and it propagated correctly. I checked every row of Table 6 against its own Top-K values, and Tables 8 and 9 both reconcile to the Table 6 and Table 7 means. That was a careful pass.</w:t>
      </w:r>
    </w:p>
    <w:p>
      <w:pPr>
        <w:spacing w:after="100" w:line="240"/>
        <w:jc w:val="left"/>
      </w:pPr>
      <w:r>
        <w:rPr>
          <w:rFonts w:ascii="Gill Sans MT" w:cs="Gill Sans MT" w:eastAsia="Gill Sans MT" w:hAnsi="Gill Sans MT"/>
          <w:b w:val="false"/>
          <w:bCs w:val="false"/>
          <w:i w:val="false"/>
          <w:iCs w:val="false"/>
          <w:color w:val="000000"/>
          <w:sz w:val="18"/>
          <w:szCs w:val="18"/>
        </w:rPr>
        <w:t xml:space="preserve">What follows is the set of items to close before submission. Each one is either a number that contradicts another number in the paper, or a claim the paper makes in one place and withdraws in another. Those are the two things that lose a paper at the first read. Everything else on my longer list, including the kappa correction, the per-target WP-small medians, the length cut and the punctuation pass, is left for the revision round, where a reviewer asking for it and getting it is a stronger position than volunteering it now.</w:t>
      </w:r>
    </w:p>
    <w:p>
      <w:pPr>
        <w:spacing w:after="100" w:line="240"/>
        <w:jc w:val="left"/>
      </w:pPr>
      <w:r>
        <w:rPr>
          <w:rFonts w:ascii="Gill Sans MT" w:cs="Gill Sans MT" w:eastAsia="Gill Sans MT" w:hAnsi="Gill Sans MT"/>
          <w:b w:val="false"/>
          <w:bCs w:val="false"/>
          <w:i w:val="false"/>
          <w:iCs w:val="false"/>
          <w:color w:val="000000"/>
          <w:sz w:val="18"/>
          <w:szCs w:val="18"/>
        </w:rPr>
        <w:t xml:space="preserve">BLAZE and the shared candidate pool is being handled separately and is not in this table.</w:t>
      </w:r>
    </w:p>
    <w:p>
      <w:pPr>
        <w:spacing w:after="200" w:line="240"/>
        <w:jc w:val="left"/>
      </w:pPr>
      <w:r>
        <w:rPr>
          <w:rFonts w:ascii="Gill Sans MT" w:cs="Gill Sans MT" w:eastAsia="Gill Sans MT" w:hAnsi="Gill Sans MT"/>
          <w:b w:val="false"/>
          <w:bCs w:val="false"/>
          <w:i w:val="false"/>
          <w:iCs w:val="false"/>
          <w:color w:val="000000"/>
          <w:sz w:val="18"/>
          <w:szCs w:val="18"/>
        </w:rPr>
        <w:t xml:space="preserve">One instruction. Change nothing that is not on this list. The broken citation in item 1 was introduced by the last round of edits rather than carried over, and there is no time for another full read, so every edit outside these fifteen is a new chance to break something.</w:t>
      </w:r>
    </w:p>
    <w:tbl>
      <w:tblPr>
        <w:tblW w:type="dxa" w:w="1511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6300"/>
        <w:gridCol w:w="6610"/>
      </w:tblGrid>
      <w:tr>
        <w:trPr>
          <w:tblHeader/>
        </w:trPr>
        <w:tc>
          <w:tcPr>
            <w:tcW w:type="dxa" w:w="2200"/>
            <w:tcBorders>
              <w:top w:val="single" w:color="000000" w:sz="4"/>
              <w:left w:val="single" w:color="000000" w:sz="4"/>
              <w:bottom w:val="single" w:color="000000" w:sz="4"/>
              <w:right w:val="single" w:color="000000" w:sz="4"/>
            </w:tcBorders>
            <w:shd w:fill="000000" w:color="auto" w:val="clear"/>
            <w:tcMar>
              <w:top w:type="dxa" w:w="80"/>
              <w:left w:type="dxa" w:w="100"/>
              <w:bottom w:type="dxa" w:w="80"/>
              <w:right w:type="dxa" w:w="100"/>
            </w:tcMar>
          </w:tcPr>
          <w:p>
            <w:pPr>
              <w:spacing w:after="0" w:line="240"/>
            </w:pPr>
            <w:r>
              <w:rPr>
                <w:rFonts w:ascii="Gill Sans MT" w:cs="Gill Sans MT" w:eastAsia="Gill Sans MT" w:hAnsi="Gill Sans MT"/>
                <w:b/>
                <w:bCs/>
                <w:color w:val="FFFFFF"/>
                <w:sz w:val="18"/>
                <w:szCs w:val="18"/>
              </w:rPr>
              <w:t xml:space="preserve">Item</w:t>
            </w:r>
          </w:p>
        </w:tc>
        <w:tc>
          <w:tcPr>
            <w:tcW w:type="dxa" w:w="6300"/>
            <w:tcBorders>
              <w:top w:val="single" w:color="000000" w:sz="4"/>
              <w:left w:val="single" w:color="000000" w:sz="4"/>
              <w:bottom w:val="single" w:color="000000" w:sz="4"/>
              <w:right w:val="single" w:color="000000" w:sz="4"/>
            </w:tcBorders>
            <w:shd w:fill="000000" w:color="auto" w:val="clear"/>
            <w:tcMar>
              <w:top w:type="dxa" w:w="80"/>
              <w:left w:type="dxa" w:w="100"/>
              <w:bottom w:type="dxa" w:w="80"/>
              <w:right w:type="dxa" w:w="100"/>
            </w:tcMar>
          </w:tcPr>
          <w:p>
            <w:pPr>
              <w:spacing w:after="0" w:line="240"/>
            </w:pPr>
            <w:r>
              <w:rPr>
                <w:rFonts w:ascii="Gill Sans MT" w:cs="Gill Sans MT" w:eastAsia="Gill Sans MT" w:hAnsi="Gill Sans MT"/>
                <w:b/>
                <w:bCs/>
                <w:color w:val="FFFFFF"/>
                <w:sz w:val="18"/>
                <w:szCs w:val="18"/>
              </w:rPr>
              <w:t xml:space="preserve">What exists now</w:t>
            </w:r>
          </w:p>
        </w:tc>
        <w:tc>
          <w:tcPr>
            <w:tcW w:type="dxa" w:w="6610"/>
            <w:tcBorders>
              <w:top w:val="single" w:color="000000" w:sz="4"/>
              <w:left w:val="single" w:color="000000" w:sz="4"/>
              <w:bottom w:val="single" w:color="000000" w:sz="4"/>
              <w:right w:val="single" w:color="000000" w:sz="4"/>
            </w:tcBorders>
            <w:shd w:fill="000000" w:color="auto" w:val="clear"/>
            <w:tcMar>
              <w:top w:type="dxa" w:w="80"/>
              <w:left w:type="dxa" w:w="100"/>
              <w:bottom w:type="dxa" w:w="80"/>
              <w:right w:type="dxa" w:w="100"/>
            </w:tcMar>
          </w:tcPr>
          <w:p>
            <w:pPr>
              <w:spacing w:after="0" w:line="240"/>
            </w:pPr>
            <w:r>
              <w:rPr>
                <w:rFonts w:ascii="Gill Sans MT" w:cs="Gill Sans MT" w:eastAsia="Gill Sans MT" w:hAnsi="Gill Sans MT"/>
                <w:b/>
                <w:bCs/>
                <w:color w:val="FFFFFF"/>
                <w:sz w:val="18"/>
                <w:szCs w:val="18"/>
              </w:rPr>
              <w:t xml:space="preserve">What to change</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 Broken citation for the empirical standards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3, Reporting standards:</w:t>
            </w:r>
          </w:p>
          <w:p>
            <w:pPr>
              <w:spacing w:after="100" w:line="240"/>
            </w:pPr>
            <w:r>
              <w:rPr>
                <w:rFonts w:ascii="Gill Sans MT" w:cs="Gill Sans MT" w:eastAsia="Gill Sans MT" w:hAnsi="Gill Sans MT"/>
                <w:color w:val="000000"/>
                <w:sz w:val="18"/>
                <w:szCs w:val="18"/>
              </w:rPr>
              <w:t xml:space="preserve">“This study follows the ACM SIGSOFT Empirical Standards (?), specifically the General Standard and the Data Science Standard.”</w:t>
            </w:r>
          </w:p>
          <w:p>
            <w:pPr>
              <w:spacing w:after="0" w:line="240"/>
            </w:pPr>
            <w:r>
              <w:rPr>
                <w:rFonts w:ascii="Gill Sans MT" w:cs="Gill Sans MT" w:eastAsia="Gill Sans MT" w:hAnsi="Gill Sans MT"/>
                <w:color w:val="000000"/>
                <w:sz w:val="18"/>
                <w:szCs w:val="18"/>
              </w:rPr>
              <w:t xml:space="preserve">The citation compiles to a literal question mark. This is on page 4, in the one sentence a methodologically careful reviewer will look for.</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Add the bibliography entry and rebuild:</w:t>
            </w:r>
          </w:p>
          <w:p>
            <w:pPr>
              <w:spacing w:after="100" w:line="240"/>
            </w:pPr>
            <w:r>
              <w:rPr>
                <w:rFonts w:ascii="Gill Sans MT" w:cs="Gill Sans MT" w:eastAsia="Gill Sans MT" w:hAnsi="Gill Sans MT"/>
                <w:color w:val="000000"/>
                <w:sz w:val="18"/>
                <w:szCs w:val="18"/>
              </w:rPr>
              <w:t xml:space="preserve">Ralph, P., et al., 2021. Empirical Standards for Software Engineering Research. arXiv:2010.03525.</w:t>
            </w:r>
          </w:p>
          <w:p>
            <w:pPr>
              <w:spacing w:after="0" w:line="240"/>
            </w:pPr>
            <w:r>
              <w:rPr>
                <w:rFonts w:ascii="Gill Sans MT" w:cs="Gill Sans MT" w:eastAsia="Gill Sans MT" w:hAnsi="Gill Sans MT"/>
                <w:color w:val="000000"/>
                <w:sz w:val="18"/>
                <w:szCs w:val="18"/>
              </w:rPr>
              <w:t xml:space="preserve">Confirm the completed checklist is actually in the Zenodo package, since Data Availability now says it is.</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2. Win rate range contradicts Table 7</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4.1.2, TRANP-CNN paragraph:</w:t>
            </w:r>
          </w:p>
          <w:p>
            <w:pPr>
              <w:spacing w:after="100" w:line="240"/>
            </w:pPr>
            <w:r>
              <w:rPr>
                <w:rFonts w:ascii="Gill Sans MT" w:cs="Gill Sans MT" w:eastAsia="Gill Sans MT" w:hAnsi="Gill Sans MT"/>
                <w:color w:val="000000"/>
                <w:sz w:val="18"/>
                <w:szCs w:val="18"/>
              </w:rPr>
              <w:t xml:space="preserve">“Win rates range from 54.0% (Top-1) to 71.4% (MAP).”</w:t>
            </w:r>
          </w:p>
          <w:p>
            <w:pPr>
              <w:spacing w:after="0" w:line="240"/>
            </w:pPr>
            <w:r>
              <w:rPr>
                <w:rFonts w:ascii="Gill Sans MT" w:cs="Gill Sans MT" w:eastAsia="Gill Sans MT" w:hAnsi="Gill Sans MT"/>
                <w:color w:val="000000"/>
                <w:sz w:val="18"/>
                <w:szCs w:val="18"/>
              </w:rPr>
              <w:t xml:space="preserve">Table 7 gives TRANP-CNN Top-10 Win % as 47.6%, below the stated minimum.</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with:</w:t>
            </w:r>
          </w:p>
          <w:p>
            <w:pPr>
              <w:spacing w:after="100" w:line="240"/>
            </w:pPr>
            <w:r>
              <w:rPr>
                <w:rFonts w:ascii="Gill Sans MT" w:cs="Gill Sans MT" w:eastAsia="Gill Sans MT" w:hAnsi="Gill Sans MT"/>
                <w:color w:val="000000"/>
                <w:sz w:val="18"/>
                <w:szCs w:val="18"/>
              </w:rPr>
              <w:t xml:space="preserve">“Win rates range from 47.6% (Top-10) to 71.4% (MAP).”</w:t>
            </w:r>
          </w:p>
          <w:p>
            <w:pPr>
              <w:spacing w:after="0" w:line="240"/>
            </w:pPr>
            <w:r>
              <w:rPr>
                <w:rFonts w:ascii="Gill Sans MT" w:cs="Gill Sans MT" w:eastAsia="Gill Sans MT" w:hAnsi="Gill Sans MT"/>
                <w:color w:val="000000"/>
                <w:sz w:val="18"/>
                <w:szCs w:val="18"/>
              </w:rPr>
              <w:t xml:space="preserve">The effect-size range in the same sentence (d = 0.32–0.66) is correct and does not change.</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3. jupyterlab exclusion stated in the wrong direction</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Table 9 caption:</w:t>
            </w:r>
          </w:p>
          <w:p>
            <w:pPr>
              <w:spacing w:after="100" w:line="240"/>
            </w:pPr>
            <w:r>
              <w:rPr>
                <w:rFonts w:ascii="Gill Sans MT" w:cs="Gill Sans MT" w:eastAsia="Gill Sans MT" w:hAnsi="Gill Sans MT"/>
                <w:color w:val="000000"/>
                <w:sz w:val="18"/>
                <w:szCs w:val="18"/>
              </w:rPr>
              <w:t xml:space="preserve">“… excluding jupyterlab pairs, the cross-domain win rate changes to 73.7% (BLAZE), 47.4% (COOBA), and 31.6% (TRANP-CNN) – the domain effect survives for BLAZE and COOBA but weakens further for TRANP-CNN …”</w:t>
            </w:r>
          </w:p>
          <w:p>
            <w:pPr>
              <w:spacing w:after="0" w:line="240"/>
            </w:pPr>
            <w:r>
              <w:rPr>
                <w:rFonts w:ascii="Gill Sans MT" w:cs="Gill Sans MT" w:eastAsia="Gill Sans MT" w:hAnsi="Gill Sans MT"/>
                <w:color w:val="000000"/>
                <w:sz w:val="18"/>
                <w:szCs w:val="18"/>
              </w:rPr>
              <w:t xml:space="preserve">Within-domain 70.0% against the excluded cross-domain 31.6% is a 38.4 point gap, wider than the 24.5 points in the table, so the exclusion strengthens TRANP-CNN's domain sensitivity rather than weakening it. The within-domain figures are also not recomputed, although Group A is DS by DS and jupyterlab is a DS project.</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the clause after the three numbers with:</w:t>
            </w:r>
          </w:p>
          <w:p>
            <w:pPr>
              <w:spacing w:after="100" w:line="240"/>
            </w:pPr>
            <w:r>
              <w:rPr>
                <w:rFonts w:ascii="Gill Sans MT" w:cs="Gill Sans MT" w:eastAsia="Gill Sans MT" w:hAnsi="Gill Sans MT"/>
                <w:color w:val="000000"/>
                <w:sz w:val="18"/>
                <w:szCs w:val="18"/>
              </w:rPr>
              <w:t xml:space="preserve">“… so the domain effect is not an artifact of the jupyterlab pivot for any of the three models.”</w:t>
            </w:r>
          </w:p>
          <w:p>
            <w:pPr>
              <w:spacing w:after="0" w:line="240"/>
            </w:pPr>
            <w:r>
              <w:rPr>
                <w:rFonts w:ascii="Gill Sans MT" w:cs="Gill Sans MT" w:eastAsia="Gill Sans MT" w:hAnsi="Gill Sans MT"/>
                <w:color w:val="000000"/>
                <w:sz w:val="18"/>
                <w:szCs w:val="18"/>
              </w:rPr>
              <w:t xml:space="preserve">Drop the comparison against the within-domain figures entirely, rather than recomputing them now. That keeps the sentence true without opening a new computation.</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4. Figure 3 caption does not match its own grid</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Figure 3 caption:</w:t>
            </w:r>
          </w:p>
          <w:p>
            <w:pPr>
              <w:spacing w:after="100" w:line="240"/>
            </w:pPr>
            <w:r>
              <w:rPr>
                <w:rFonts w:ascii="Gill Sans MT" w:cs="Gill Sans MT" w:eastAsia="Gill Sans MT" w:hAnsi="Gill Sans MT"/>
                <w:color w:val="000000"/>
                <w:sz w:val="18"/>
                <w:szCs w:val="18"/>
              </w:rPr>
              <w:t xml:space="preserve">“12 of 14 populated cells exceed the MRR = 0.20 viability threshold; the two exceptions (source Q3 and Q4 × target Q2, MRR = 0.187 and 0.170) are both close to the threshold. One cell (source Q3 × target Q4) is empty (n = 0) …”</w:t>
            </w:r>
          </w:p>
          <w:p>
            <w:pPr>
              <w:spacing w:after="0" w:line="240"/>
            </w:pPr>
            <w:r>
              <w:rPr>
                <w:rFonts w:ascii="Gill Sans MT" w:cs="Gill Sans MT" w:eastAsia="Gill Sans MT" w:hAnsi="Gill Sans MT"/>
                <w:color w:val="000000"/>
                <w:sz w:val="18"/>
                <w:szCs w:val="18"/>
              </w:rPr>
              <w:t xml:space="preserve">A 4 by 4 grid with one empty cell has 15 populated cells, of which two fall below 0.20.</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with:</w:t>
            </w:r>
          </w:p>
          <w:p>
            <w:pPr>
              <w:spacing w:after="100" w:line="240"/>
            </w:pPr>
            <w:r>
              <w:rPr>
                <w:rFonts w:ascii="Gill Sans MT" w:cs="Gill Sans MT" w:eastAsia="Gill Sans MT" w:hAnsi="Gill Sans MT"/>
                <w:color w:val="000000"/>
                <w:sz w:val="18"/>
                <w:szCs w:val="18"/>
              </w:rPr>
              <w:t xml:space="preserve">“13 of 15 populated cells exceed the MRR = 0.20 viability threshold …”</w:t>
            </w:r>
          </w:p>
          <w:p>
            <w:pPr>
              <w:spacing w:after="0" w:line="240"/>
            </w:pPr>
            <w:r>
              <w:rPr>
                <w:rFonts w:ascii="Gill Sans MT" w:cs="Gill Sans MT" w:eastAsia="Gill Sans MT" w:hAnsi="Gill Sans MT"/>
                <w:color w:val="000000"/>
                <w:sz w:val="18"/>
                <w:szCs w:val="18"/>
              </w:rPr>
              <w:t xml:space="preserve">Also check the per-cell n annotations against the script. As printed they appear to sum to 65 rather than 63.</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5. Figure 8 panel values disagree with the text</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Figure 8 in-panel annotations read ρ = −0.01 (BLAZE), −0.32 (COOBA), −0.22 (TRANP-CNN).</w:t>
            </w:r>
          </w:p>
          <w:p>
            <w:pPr>
              <w:spacing w:after="100" w:line="240"/>
            </w:pPr>
            <w:r>
              <w:rPr>
                <w:rFonts w:ascii="Gill Sans MT" w:cs="Gill Sans MT" w:eastAsia="Gill Sans MT" w:hAnsi="Gill Sans MT"/>
                <w:color w:val="000000"/>
                <w:sz w:val="18"/>
                <w:szCs w:val="18"/>
              </w:rPr>
              <w:t xml:space="preserve">Section 4.3.2 reports −0.00, −0.296 and −0.208 for the same statistic.</w:t>
            </w:r>
          </w:p>
          <w:p>
            <w:pPr>
              <w:spacing w:after="0" w:line="240"/>
            </w:pPr>
            <w:r>
              <w:rPr>
                <w:rFonts w:ascii="Gill Sans MT" w:cs="Gill Sans MT" w:eastAsia="Gill Sans MT" w:hAnsi="Gill Sans MT"/>
                <w:color w:val="000000"/>
                <w:sz w:val="18"/>
                <w:szCs w:val="18"/>
              </w:rPr>
              <w:t xml:space="preserve">This has survived several versions because the figures are images and cannot be searched in the PDF.</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Regenerate Figure 8 so the panel annotations print the same values as Section 4.3.2 (−0.00, −0.296, −0.208).</w:t>
            </w:r>
          </w:p>
          <w:p>
            <w:pPr>
              <w:spacing w:after="0" w:line="240"/>
            </w:pPr>
            <w:r>
              <w:rPr>
                <w:rFonts w:ascii="Gill Sans MT" w:cs="Gill Sans MT" w:eastAsia="Gill Sans MT" w:hAnsi="Gill Sans MT"/>
                <w:color w:val="000000"/>
                <w:sz w:val="18"/>
                <w:szCs w:val="18"/>
              </w:rPr>
              <w:t xml:space="preserve">Nothing in the text changes. While the plotting script is open, check every other in-figure annotation against what the script prints, since none of them can be caught by reading the PDF.</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6. COOBA result stated flatly in three places, hedged in a fourth</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5.4 says the negative COOBA result “should be attributed to the adversarial paradigm only provisionally” until the re-implementation is run on the original benchmark.</w:t>
            </w:r>
          </w:p>
          <w:p>
            <w:pPr>
              <w:spacing w:after="100" w:line="240"/>
            </w:pPr>
            <w:r>
              <w:rPr>
                <w:rFonts w:ascii="Gill Sans MT" w:cs="Gill Sans MT" w:eastAsia="Gill Sans MT" w:hAnsi="Gill Sans MT"/>
                <w:color w:val="000000"/>
                <w:sz w:val="18"/>
                <w:szCs w:val="18"/>
              </w:rPr>
              <w:t xml:space="preserve">Abstract: “… while COOBA shows only marginal gains (d = 0.27) with a 31.7% negative transfer rate.”</w:t>
            </w:r>
          </w:p>
          <w:p>
            <w:pPr>
              <w:spacing w:after="100" w:line="240"/>
            </w:pPr>
            <w:r>
              <w:rPr>
                <w:rFonts w:ascii="Gill Sans MT" w:cs="Gill Sans MT" w:eastAsia="Gill Sans MT" w:hAnsi="Gill Sans MT"/>
                <w:color w:val="000000"/>
                <w:sz w:val="18"/>
                <w:szCs w:val="18"/>
              </w:rPr>
              <w:t xml:space="preserve">Conclusion: “… while COOBA shows only marginal benefit with near-zero cold-start performance.”</w:t>
            </w:r>
          </w:p>
          <w:p>
            <w:pPr>
              <w:spacing w:after="0" w:line="240"/>
            </w:pPr>
            <w:r>
              <w:rPr>
                <w:rFonts w:ascii="Gill Sans MT" w:cs="Gill Sans MT" w:eastAsia="Gill Sans MT" w:hAnsi="Gill Sans MT"/>
                <w:color w:val="000000"/>
                <w:sz w:val="18"/>
                <w:szCs w:val="18"/>
              </w:rPr>
              <w:t xml:space="preserve">A reviewer who reads 5.4 and then the abstract sees the paper conceding a limit and then not observing it.</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Abstract, replace with:</w:t>
            </w:r>
          </w:p>
          <w:p>
            <w:pPr>
              <w:spacing w:after="100" w:line="240"/>
            </w:pPr>
            <w:r>
              <w:rPr>
                <w:rFonts w:ascii="Gill Sans MT" w:cs="Gill Sans MT" w:eastAsia="Gill Sans MT" w:hAnsi="Gill Sans MT"/>
                <w:color w:val="000000"/>
                <w:sz w:val="18"/>
                <w:szCs w:val="18"/>
              </w:rPr>
              <w:t xml:space="preserve">“… while COOBA, in this corpus and under our re-implementation, shows only marginal gains (d = 0.27) with a 31.7% negative transfer rate.”</w:t>
            </w:r>
          </w:p>
          <w:p>
            <w:pPr>
              <w:spacing w:after="100" w:line="240"/>
            </w:pPr>
            <w:r>
              <w:rPr>
                <w:rFonts w:ascii="Gill Sans MT" w:cs="Gill Sans MT" w:eastAsia="Gill Sans MT" w:hAnsi="Gill Sans MT"/>
                <w:color w:val="000000"/>
                <w:sz w:val="18"/>
                <w:szCs w:val="18"/>
              </w:rPr>
              <w:t xml:space="preserve">Conclusion, replace with:</w:t>
            </w:r>
          </w:p>
          <w:p>
            <w:pPr>
              <w:spacing w:after="100" w:line="240"/>
            </w:pPr>
            <w:r>
              <w:rPr>
                <w:rFonts w:ascii="Gill Sans MT" w:cs="Gill Sans MT" w:eastAsia="Gill Sans MT" w:hAnsi="Gill Sans MT"/>
                <w:color w:val="000000"/>
                <w:sz w:val="18"/>
                <w:szCs w:val="18"/>
              </w:rPr>
              <w:t xml:space="preserve">“… while COOBA, our only adversarial GNN instance and one we re-implemented, shows only marginal benefit with near-zero cold-start performance.”</w:t>
            </w:r>
          </w:p>
          <w:p>
            <w:pPr>
              <w:spacing w:after="0" w:line="240"/>
            </w:pPr>
            <w:r>
              <w:rPr>
                <w:rFonts w:ascii="Gill Sans MT" w:cs="Gill Sans MT" w:eastAsia="Gill Sans MT" w:hAnsi="Gill Sans MT"/>
                <w:color w:val="000000"/>
                <w:sz w:val="18"/>
                <w:szCs w:val="18"/>
              </w:rPr>
              <w:t xml:space="preserve">The Highlights bullet has an 85-character limit, so it can stay as it is. The two hedges above are enough to close the gap.</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7. “Establishes” used twice for a 41 to 62 percent agreement range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5.3, opening:</w:t>
            </w:r>
          </w:p>
          <w:p>
            <w:pPr>
              <w:spacing w:after="100" w:line="240"/>
            </w:pPr>
            <w:r>
              <w:rPr>
                <w:rFonts w:ascii="Gill Sans MT" w:cs="Gill Sans MT" w:eastAsia="Gill Sans MT" w:hAnsi="Gill Sans MT"/>
                <w:color w:val="000000"/>
                <w:sz w:val="18"/>
                <w:szCs w:val="18"/>
              </w:rPr>
              <w:t xml:space="preserve">“It establishes that CPL benefit cannot be assumed to generalize across model architectures: a finding from one CPL model does not reliably predict outcomes from a different architecture on the same project pairs.”</w:t>
            </w:r>
          </w:p>
          <w:p>
            <w:pPr>
              <w:spacing w:after="100" w:line="240"/>
            </w:pPr>
            <w:r>
              <w:rPr>
                <w:rFonts w:ascii="Gill Sans MT" w:cs="Gill Sans MT" w:eastAsia="Gill Sans MT" w:hAnsi="Gill Sans MT"/>
                <w:color w:val="000000"/>
                <w:sz w:val="18"/>
                <w:szCs w:val="18"/>
              </w:rPr>
              <w:t xml:space="preserve">Conclusion, final paragraph:</w:t>
            </w:r>
          </w:p>
          <w:p>
            <w:pPr>
              <w:spacing w:after="0" w:line="240"/>
            </w:pPr>
            <w:r>
              <w:rPr>
                <w:rFonts w:ascii="Gill Sans MT" w:cs="Gill Sans MT" w:eastAsia="Gill Sans MT" w:hAnsi="Gill Sans MT"/>
                <w:color w:val="000000"/>
                <w:sz w:val="18"/>
                <w:szCs w:val="18"/>
              </w:rPr>
              <w:t xml:space="preserve">“… low cross-model agreement establishes that CPL benefit cannot be assumed to generalize across model architectures …”</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5.3, replace with:</w:t>
            </w:r>
          </w:p>
          <w:p>
            <w:pPr>
              <w:spacing w:after="100" w:line="240"/>
            </w:pPr>
            <w:r>
              <w:rPr>
                <w:rFonts w:ascii="Gill Sans MT" w:cs="Gill Sans MT" w:eastAsia="Gill Sans MT" w:hAnsi="Gill Sans MT"/>
                <w:color w:val="000000"/>
                <w:sz w:val="18"/>
                <w:szCs w:val="18"/>
              </w:rPr>
              <w:t xml:space="preserve">“It suggests that CPL benefit may not generalize across model architectures: a finding from one CPL model did not, in this corpus, reliably predict outcomes from a different architecture on the same project pairs.”</w:t>
            </w:r>
          </w:p>
          <w:p>
            <w:pPr>
              <w:spacing w:after="100" w:line="240"/>
            </w:pPr>
            <w:r>
              <w:rPr>
                <w:rFonts w:ascii="Gill Sans MT" w:cs="Gill Sans MT" w:eastAsia="Gill Sans MT" w:hAnsi="Gill Sans MT"/>
                <w:color w:val="000000"/>
                <w:sz w:val="18"/>
                <w:szCs w:val="18"/>
              </w:rPr>
              <w:t xml:space="preserve">Conclusion, replace with:</w:t>
            </w:r>
          </w:p>
          <w:p>
            <w:pPr>
              <w:spacing w:after="100" w:line="240"/>
            </w:pPr>
            <w:r>
              <w:rPr>
                <w:rFonts w:ascii="Gill Sans MT" w:cs="Gill Sans MT" w:eastAsia="Gill Sans MT" w:hAnsi="Gill Sans MT"/>
                <w:color w:val="000000"/>
                <w:sz w:val="18"/>
                <w:szCs w:val="18"/>
              </w:rPr>
              <w:t xml:space="preserve">“… low cross-model agreement suggests that CPL benefit may not generalize across model architectures …”</w:t>
            </w:r>
          </w:p>
          <w:p>
            <w:pPr>
              <w:spacing w:after="0" w:line="240"/>
            </w:pPr>
            <w:r>
              <w:rPr>
                <w:rFonts w:ascii="Gill Sans MT" w:cs="Gill Sans MT" w:eastAsia="Gill Sans MT" w:hAnsi="Gill Sans MT"/>
                <w:color w:val="000000"/>
                <w:sz w:val="18"/>
                <w:szCs w:val="18"/>
              </w:rPr>
              <w:t xml:space="preserve">Everything after those clauses stays as written.</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8. “Cross-architecture replication”</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4.1.2, closing paragraph:</w:t>
            </w:r>
          </w:p>
          <w:p>
            <w:pPr>
              <w:spacing w:after="100" w:line="240"/>
            </w:pPr>
            <w:r>
              <w:rPr>
                <w:rFonts w:ascii="Gill Sans MT" w:cs="Gill Sans MT" w:eastAsia="Gill Sans MT" w:hAnsi="Gill Sans MT"/>
                <w:color w:val="000000"/>
                <w:sz w:val="18"/>
                <w:szCs w:val="18"/>
              </w:rPr>
              <w:t xml:space="preserve">“Taken together, 2 of 3 benchmarked architectural paradigms show statistically significant CPL benefit with a medium-to-large effect size. This cross-architecture replication is the primary evidence that CPL is a viable strategy for data-scarce projects, rather than an artifact of any particular model's inductive bias.”</w:t>
            </w:r>
          </w:p>
          <w:p>
            <w:pPr>
              <w:spacing w:after="0" w:line="240"/>
            </w:pPr>
            <w:r>
              <w:rPr>
                <w:rFonts w:ascii="Gill Sans MT" w:cs="Gill Sans MT" w:eastAsia="Gill Sans MT" w:hAnsi="Gill Sans MT"/>
                <w:color w:val="000000"/>
                <w:sz w:val="18"/>
                <w:szCs w:val="18"/>
              </w:rPr>
              <w:t xml:space="preserve">With one model per paradigm this is not a replication, and Section 3.2 already says as much. This is the most exposed passage in the paper.</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both sentences with:</w:t>
            </w:r>
          </w:p>
          <w:p>
            <w:pPr>
              <w:spacing w:after="100" w:line="240"/>
            </w:pPr>
            <w:r>
              <w:rPr>
                <w:rFonts w:ascii="Gill Sans MT" w:cs="Gill Sans MT" w:eastAsia="Gill Sans MT" w:hAnsi="Gill Sans MT"/>
                <w:color w:val="000000"/>
                <w:sz w:val="18"/>
                <w:szCs w:val="18"/>
              </w:rPr>
              <w:t xml:space="preserve">“Taken together, the three models span a wide range of CPL benefit under identical conditions. Two of the three, BLAZE and TRANP-CNN, meet the criterion above, and COOBA does not. That two architecturally distinct models both show benefit suggests the result is not an artifact of one model's inductive bias, though with one model per paradigm this is not a replication in the methodological sense.”</w:t>
            </w:r>
          </w:p>
          <w:p>
            <w:pPr>
              <w:spacing w:after="0" w:line="240"/>
            </w:pPr>
            <w:r>
              <w:rPr>
                <w:rFonts w:ascii="Gill Sans MT" w:cs="Gill Sans MT" w:eastAsia="Gill Sans MT" w:hAnsi="Gill Sans MT"/>
                <w:color w:val="000000"/>
                <w:sz w:val="18"/>
                <w:szCs w:val="18"/>
              </w:rPr>
              <w:t xml:space="preserve">The three-tier effect size sentence that follows stays unchanged. No number moves.</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9. RQ1 summary box opens on the strongest reading</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RQ1 Summary box, opening line:</w:t>
            </w:r>
          </w:p>
          <w:p>
            <w:pPr>
              <w:spacing w:after="100" w:line="240"/>
            </w:pPr>
            <w:r>
              <w:rPr>
                <w:rFonts w:ascii="Gill Sans MT" w:cs="Gill Sans MT" w:eastAsia="Gill Sans MT" w:hAnsi="Gill Sans MT"/>
                <w:color w:val="000000"/>
                <w:sz w:val="18"/>
                <w:szCs w:val="18"/>
              </w:rPr>
              <w:t xml:space="preserve">“Cross-project transfer with minimal target labels significantly outperforms within-project limited training for 2 of 3 benchmarked architectural paradigms.”</w:t>
            </w:r>
          </w:p>
          <w:p>
            <w:pPr>
              <w:spacing w:after="0" w:line="240"/>
            </w:pPr>
            <w:r>
              <w:rPr>
                <w:rFonts w:ascii="Gill Sans MT" w:cs="Gill Sans MT" w:eastAsia="Gill Sans MT" w:hAnsi="Gill Sans MT"/>
                <w:color w:val="000000"/>
                <w:sz w:val="18"/>
                <w:szCs w:val="18"/>
              </w:rPr>
              <w:t xml:space="preserve">The boxes are what a reviewer reads first, and this one puts RQ1 forward as the headline while the title and the abstract close on the variation.</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the opening line with:</w:t>
            </w:r>
          </w:p>
          <w:p>
            <w:pPr>
              <w:spacing w:after="100" w:line="240"/>
            </w:pPr>
            <w:r>
              <w:rPr>
                <w:rFonts w:ascii="Gill Sans MT" w:cs="Gill Sans MT" w:eastAsia="Gill Sans MT" w:hAnsi="Gill Sans MT"/>
                <w:color w:val="000000"/>
                <w:sz w:val="18"/>
                <w:szCs w:val="18"/>
              </w:rPr>
              <w:t xml:space="preserve">“CPL benefit under label scarcity differs sharply across the three models tested, from a large effect to none surviving correction.”</w:t>
            </w:r>
          </w:p>
          <w:p>
            <w:pPr>
              <w:spacing w:after="0" w:line="240"/>
            </w:pPr>
            <w:r>
              <w:rPr>
                <w:rFonts w:ascii="Gill Sans MT" w:cs="Gill Sans MT" w:eastAsia="Gill Sans MT" w:hAnsi="Gill Sans MT"/>
                <w:color w:val="000000"/>
                <w:sz w:val="18"/>
                <w:szCs w:val="18"/>
              </w:rPr>
              <w:t xml:space="preserve">The three bullets underneath stay exactly as they are, numbers included.</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10. “Neither better than chance” is not accurate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4.3.1:</w:t>
            </w:r>
          </w:p>
          <w:p>
            <w:pPr>
              <w:spacing w:after="100" w:line="240"/>
            </w:pPr>
            <w:r>
              <w:rPr>
                <w:rFonts w:ascii="Gill Sans MT" w:cs="Gill Sans MT" w:eastAsia="Gill Sans MT" w:hAnsi="Gill Sans MT"/>
                <w:color w:val="000000"/>
                <w:sz w:val="18"/>
                <w:szCs w:val="18"/>
              </w:rPr>
              <w:t xml:space="preserve">“COOBA agrees with BLAZE in only 41% of pairs and with TRANP-CNN in 44% of pairs, neither better than chance with no significant rank correlation in either case (BLAZE vs. COOBA p = 0.54; COOBA vs. TRANP-CNN p = 0.09).”</w:t>
            </w:r>
          </w:p>
          <w:p>
            <w:pPr>
              <w:spacing w:after="0" w:line="240"/>
            </w:pPr>
            <w:r>
              <w:rPr>
                <w:rFonts w:ascii="Gill Sans MT" w:cs="Gill Sans MT" w:eastAsia="Gill Sans MT" w:hAnsi="Gill Sans MT"/>
                <w:color w:val="000000"/>
                <w:sz w:val="18"/>
                <w:szCs w:val="18"/>
              </w:rPr>
              <w:t xml:space="preserve">With three outcome categories and these marginals, expected agreement by chance is about 42% for BLAZE against COOBA and about 37% for COOBA against TRANP-CNN, so the second is modestly above chance, not at it.</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Replace with:</w:t>
            </w:r>
          </w:p>
          <w:p>
            <w:pPr>
              <w:spacing w:after="100" w:line="240"/>
            </w:pPr>
            <w:r>
              <w:rPr>
                <w:rFonts w:ascii="Gill Sans MT" w:cs="Gill Sans MT" w:eastAsia="Gill Sans MT" w:hAnsi="Gill Sans MT"/>
                <w:color w:val="000000"/>
                <w:sz w:val="18"/>
                <w:szCs w:val="18"/>
              </w:rPr>
              <w:t xml:space="preserve">“COOBA agrees with BLAZE in only 41% of pairs and with TRANP-CNN in 44%, in both cases with no significant rank correlation (BLAZE vs. COOBA p = 0.54, COOBA vs. TRANP-CNN p = 0.09).”</w:t>
            </w:r>
          </w:p>
          <w:p>
            <w:pPr>
              <w:spacing w:after="0" w:line="240"/>
            </w:pPr>
            <w:r>
              <w:rPr>
                <w:rFonts w:ascii="Gill Sans MT" w:cs="Gill Sans MT" w:eastAsia="Gill Sans MT" w:hAnsi="Gill Sans MT"/>
                <w:color w:val="000000"/>
                <w:sz w:val="18"/>
                <w:szCs w:val="18"/>
              </w:rPr>
              <w:t xml:space="preserve">Reporting Cohen's kappa alongside the raw percentages would be stronger still, but that is a revision-round item, not a submission blocker.</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11. “Within-domain” means Data Science and nothing else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4.2.3 opens by defining within-domain as Group A pairs.</w:t>
            </w:r>
          </w:p>
          <w:p>
            <w:pPr>
              <w:spacing w:after="0" w:line="240"/>
            </w:pPr>
            <w:r>
              <w:rPr>
                <w:rFonts w:ascii="Gill Sans MT" w:cs="Gill Sans MT" w:eastAsia="Gill Sans MT" w:hAnsi="Gill Sans MT"/>
                <w:color w:val="000000"/>
                <w:sz w:val="18"/>
                <w:szCs w:val="18"/>
              </w:rPr>
              <w:t xml:space="preserve">Group A is DS by DS, and the corpus has no other same-domain pair set, so the within-domain against cross-domain contrast is partly a comparison between Data Science pairs and everything else. Section 5.1 item 3 turns this into a practitioner recommendation.</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Add after the opening sentence of 4.2.3:</w:t>
            </w:r>
          </w:p>
          <w:p>
            <w:pPr>
              <w:spacing w:after="100" w:line="240"/>
            </w:pPr>
            <w:r>
              <w:rPr>
                <w:rFonts w:ascii="Gill Sans MT" w:cs="Gill Sans MT" w:eastAsia="Gill Sans MT" w:hAnsi="Gill Sans MT"/>
                <w:color w:val="000000"/>
                <w:sz w:val="18"/>
                <w:szCs w:val="18"/>
              </w:rPr>
              <w:t xml:space="preserve">“All within-domain pairs here are Data Science/ML pairs (Group A), as the corpus contains no other same-domain pair set, so this contrast reflects domain identity as well as domain alignment and should be read accordingly.”</w:t>
            </w:r>
          </w:p>
          <w:p>
            <w:pPr>
              <w:spacing w:after="100" w:line="240"/>
            </w:pPr>
            <w:r>
              <w:rPr>
                <w:rFonts w:ascii="Gill Sans MT" w:cs="Gill Sans MT" w:eastAsia="Gill Sans MT" w:hAnsi="Gill Sans MT"/>
                <w:color w:val="000000"/>
                <w:sz w:val="18"/>
                <w:szCs w:val="18"/>
              </w:rPr>
              <w:t xml:space="preserve">In Section 5.1 item 3, after “The most actionable criterion is domain category membership”, add:</w:t>
            </w:r>
          </w:p>
          <w:p>
            <w:pPr>
              <w:spacing w:after="0" w:line="240"/>
            </w:pPr>
            <w:r>
              <w:rPr>
                <w:rFonts w:ascii="Gill Sans MT" w:cs="Gill Sans MT" w:eastAsia="Gill Sans MT" w:hAnsi="Gill Sans MT"/>
                <w:color w:val="000000"/>
                <w:sz w:val="18"/>
                <w:szCs w:val="18"/>
              </w:rPr>
              <w:t xml:space="preserve">“, though the within-domain evidence here comes entirely from Data Science pairs”.</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12. The two unrun ablations read as an omission rather than as scope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5.4 calls an untrained BGE with MaxSim baseline “the most valuable addition for a follow-up study”. Section 3.5 says classical IR was not evaluated as a zero-label comparator.</w:t>
            </w:r>
          </w:p>
          <w:p>
            <w:pPr>
              <w:spacing w:after="0" w:line="240"/>
            </w:pPr>
            <w:r>
              <w:rPr>
                <w:rFonts w:ascii="Gill Sans MT" w:cs="Gill Sans MT" w:eastAsia="Gill Sans MT" w:hAnsi="Gill Sans MT"/>
                <w:color w:val="000000"/>
                <w:sz w:val="18"/>
                <w:szCs w:val="18"/>
              </w:rPr>
              <w:t xml:space="preserve">Both concessions sit inside threat paragraphs. Section 6 does not pick them up, so a reviewer meets them as gaps rather than as a plan.</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Add as the first item in the Future work paragraph of Section 6:</w:t>
            </w:r>
          </w:p>
          <w:p>
            <w:pPr>
              <w:spacing w:after="100" w:line="240"/>
            </w:pPr>
            <w:r>
              <w:rPr>
                <w:rFonts w:ascii="Gill Sans MT" w:cs="Gill Sans MT" w:eastAsia="Gill Sans MT" w:hAnsi="Gill Sans MT"/>
                <w:color w:val="000000"/>
                <w:sz w:val="18"/>
                <w:szCs w:val="18"/>
              </w:rPr>
              <w:t xml:space="preserve">“Two evaluation-only additions follow directly from the threats above. First, an untrained BGE with MaxSim baseline over the same candidate pool would separate the aggregation effect from adapter training and isolate how much of the cold-start result reflects the shared retrieval representation rather than cross-project transfer (Section 5.4). Second, BM25 as a zero-label ranking comparator would measure cold-start viability against the full set of options open to an unlabelled project rather than against WP-small alone (Section 3.5). Neither requires model training, and both are scoped for the immediate follow-up study.”</w:t>
            </w:r>
          </w:p>
          <w:p>
            <w:pPr>
              <w:spacing w:after="0" w:line="240"/>
            </w:pPr>
            <w:r>
              <w:rPr>
                <w:rFonts w:ascii="Gill Sans MT" w:cs="Gill Sans MT" w:eastAsia="Gill Sans MT" w:hAnsi="Gill Sans MT"/>
                <w:color w:val="000000"/>
                <w:sz w:val="18"/>
                <w:szCs w:val="18"/>
              </w:rPr>
              <w:t xml:space="preserve">This costs nothing and converts the sharpest “why did you not run this” question into a stated plan.</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13. Twelve identically configured runs differ under a fixed seed</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5.4, training stochasticity:</w:t>
            </w:r>
          </w:p>
          <w:p>
            <w:pPr>
              <w:spacing w:after="100" w:line="240"/>
            </w:pPr>
            <w:r>
              <w:rPr>
                <w:rFonts w:ascii="Gill Sans MT" w:cs="Gill Sans MT" w:eastAsia="Gill Sans MT" w:hAnsi="Gill Sans MT"/>
                <w:color w:val="000000"/>
                <w:sz w:val="18"/>
                <w:szCs w:val="18"/>
              </w:rPr>
              <w:t xml:space="preserve">“All train/test splits use a single fixed random seed (42), and every scenario was retrained independently for each pair-run.”</w:t>
            </w:r>
          </w:p>
          <w:p>
            <w:pPr>
              <w:spacing w:after="0" w:line="240"/>
            </w:pPr>
            <w:r>
              <w:rPr>
                <w:rFonts w:ascii="Gill Sans MT" w:cs="Gill Sans MT" w:eastAsia="Gill Sans MT" w:hAnsi="Gill Sans MT"/>
                <w:color w:val="000000"/>
                <w:sz w:val="18"/>
                <w:szCs w:val="18"/>
              </w:rPr>
              <w:t xml:space="preserve">Case 2 reports twelve identically configured WP-small runs on jupyterlab spanning 0.021 to 0.262. A reader will ask why they differ at all if the seed is fixed, and the paper does not say.</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Add after the first sentence:</w:t>
            </w:r>
          </w:p>
          <w:p>
            <w:pPr>
              <w:spacing w:after="100" w:line="240"/>
            </w:pPr>
            <w:r>
              <w:rPr>
                <w:rFonts w:ascii="Gill Sans MT" w:cs="Gill Sans MT" w:eastAsia="Gill Sans MT" w:hAnsi="Gill Sans MT"/>
                <w:color w:val="000000"/>
                <w:sz w:val="18"/>
                <w:szCs w:val="18"/>
              </w:rPr>
              <w:t xml:space="preserve">“The seed fixes the data splits, not the training process. Weight initialization, data-loader ordering, and non-deterministic GPU kernels are not seeded, so WP-small runs on the same target with the same split differ across pair-runs, which is what the spread below measures.”</w:t>
            </w:r>
          </w:p>
          <w:p>
            <w:pPr>
              <w:spacing w:after="0" w:line="240"/>
            </w:pPr>
            <w:r>
              <w:rPr>
                <w:rFonts w:ascii="Gill Sans MT" w:cs="Gill Sans MT" w:eastAsia="Gill Sans MT" w:hAnsi="Gill Sans MT"/>
                <w:color w:val="000000"/>
                <w:sz w:val="18"/>
                <w:szCs w:val="18"/>
              </w:rPr>
              <w:t xml:space="preserve">Check which of those three actually apply in the code before pasting, and keep only the ones that do.</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14. Missing symbol in the domain gap construct</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Section 3.8:</w:t>
            </w:r>
          </w:p>
          <w:p>
            <w:pPr>
              <w:spacing w:after="100" w:line="240"/>
            </w:pPr>
            <w:r>
              <w:rPr>
                <w:rFonts w:ascii="Gill Sans MT" w:cs="Gill Sans MT" w:eastAsia="Gill Sans MT" w:hAnsi="Gill Sans MT"/>
                <w:color w:val="000000"/>
                <w:sz w:val="18"/>
                <w:szCs w:val="18"/>
              </w:rPr>
              <w:t xml:space="preserve">“This construct is grounded in the -divergence theory of domain adaptation (Ben-David et al., 2010), which formalises domain separability …”</w:t>
            </w:r>
          </w:p>
          <w:p>
            <w:pPr>
              <w:spacing w:after="0" w:line="240"/>
            </w:pPr>
            <w:r>
              <w:rPr>
                <w:rFonts w:ascii="Gill Sans MT" w:cs="Gill Sans MT" w:eastAsia="Gill Sans MT" w:hAnsi="Gill Sans MT"/>
                <w:color w:val="000000"/>
                <w:sz w:val="18"/>
                <w:szCs w:val="18"/>
              </w:rPr>
              <w:t xml:space="preserve">The H symbol is not rendering.</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Restore the symbol so it reads “the $\mathcal{H}$-divergence theory of domain adaptation”.</w:t>
            </w:r>
          </w:p>
          <w:p>
            <w:pPr>
              <w:spacing w:after="0" w:line="240"/>
            </w:pPr>
            <w:r>
              <w:rPr>
                <w:rFonts w:ascii="Gill Sans MT" w:cs="Gill Sans MT" w:eastAsia="Gill Sans MT" w:hAnsi="Gill Sans MT"/>
                <w:color w:val="000000"/>
                <w:sz w:val="18"/>
                <w:szCs w:val="18"/>
              </w:rPr>
              <w:t xml:space="preserve">In the same sentence, change “formalises” to “formalizes” so it matches the rest of the paper.</w:t>
            </w:r>
          </w:p>
        </w:tc>
      </w:tr>
      <w:tr>
        <w:trPr>
          <w:cantSplit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pPr>
            <w:r>
              <w:rPr>
                <w:rFonts w:ascii="Gill Sans MT" w:cs="Gill Sans MT" w:eastAsia="Gill Sans MT" w:hAnsi="Gill Sans MT"/>
                <w:b/>
                <w:bCs/>
                <w:color w:val="000000"/>
                <w:sz w:val="18"/>
                <w:szCs w:val="18"/>
              </w:rPr>
              <w:t xml:space="preserve">15. Residual spelling and hardware inconsistencies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CRediT statement: “Conceptualisation … Visualisation”, in a paper that is otherwise consistently American.</w:t>
            </w:r>
          </w:p>
          <w:p>
            <w:pPr>
              <w:spacing w:after="0" w:line="240"/>
            </w:pPr>
            <w:r>
              <w:rPr>
                <w:rFonts w:ascii="Gill Sans MT" w:cs="Gill Sans MT" w:eastAsia="Gill Sans MT" w:hAnsi="Gill Sans MT"/>
                <w:color w:val="000000"/>
                <w:sz w:val="18"/>
                <w:szCs w:val="18"/>
              </w:rPr>
              <w:t xml:space="preserve">Section 3.4 says preprocessing took about six hours on a single A100 GPU. Section 3.3 says the 756 runs took five to six months on NVIDIA L40S systems. The previous version said L40 for both.</w:t>
            </w:r>
          </w:p>
        </w:tc>
        <w:tc>
          <w:tcPr>
            <w:tcW w:type="dxa" w:w="6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100" w:line="240"/>
            </w:pPr>
            <w:r>
              <w:rPr>
                <w:rFonts w:ascii="Gill Sans MT" w:cs="Gill Sans MT" w:eastAsia="Gill Sans MT" w:hAnsi="Gill Sans MT"/>
                <w:color w:val="000000"/>
                <w:sz w:val="18"/>
                <w:szCs w:val="18"/>
              </w:rPr>
              <w:t xml:space="preserve">CRediT: change to “Conceptualization” and “Visualization”.</w:t>
            </w:r>
          </w:p>
          <w:p>
            <w:pPr>
              <w:spacing w:after="0" w:line="240"/>
            </w:pPr>
            <w:r>
              <w:rPr>
                <w:rFonts w:ascii="Gill Sans MT" w:cs="Gill Sans MT" w:eastAsia="Gill Sans MT" w:hAnsi="Gill Sans MT"/>
                <w:color w:val="000000"/>
                <w:sz w:val="18"/>
                <w:szCs w:val="18"/>
              </w:rPr>
              <w:t xml:space="preserve">Confirm which GPU actually ran the preprocessing pass and state it once, consistently with Section 3.3.</w:t>
            </w:r>
          </w:p>
        </w:tc>
      </w:tr>
    </w:tbl>
    <w:p>
      <w:pPr>
        <w:spacing w:after="120" w:line="240"/>
        <w:jc w:val="left"/>
      </w:pPr>
      <w:r>
        <w:rPr>
          <w:rFonts w:ascii="Gill Sans MT" w:cs="Gill Sans MT" w:eastAsia="Gill Sans MT" w:hAnsi="Gill Sans MT"/>
          <w:b w:val="false"/>
          <w:bCs w:val="false"/>
          <w:i w:val="false"/>
          <w:iCs w:val="false"/>
          <w:color w:val="000000"/>
          <w:sz w:val="18"/>
          <w:szCs w:val="18"/>
        </w:rPr>
        <w:t xml:space="preserve"/>
      </w:r>
    </w:p>
    <w:p>
      <w:pPr>
        <w:spacing w:after="160" w:line="240"/>
        <w:jc w:val="left"/>
      </w:pPr>
      <w:r>
        <w:rPr>
          <w:rFonts w:ascii="Gill Sans MT" w:cs="Gill Sans MT" w:eastAsia="Gill Sans MT" w:hAnsi="Gill Sans MT"/>
          <w:b w:val="false"/>
          <w:bCs w:val="false"/>
          <w:i w:val="false"/>
          <w:iCs w:val="false"/>
          <w:color w:val="000000"/>
          <w:sz w:val="18"/>
          <w:szCs w:val="18"/>
        </w:rPr>
        <w:t xml:space="preserve">Sridhar Chimalakonda</w:t>
      </w:r>
    </w:p>
    <w:p>
      <w:pPr>
        <w:spacing w:after="0" w:line="240"/>
      </w:pPr>
      <w:r>
        <w:rPr>
          <w:rFonts w:ascii="Gill Sans MT" w:cs="Gill Sans MT" w:eastAsia="Gill Sans MT" w:hAnsi="Gill Sans MT"/>
          <w:i/>
          <w:iCs/>
          <w:color w:val="000000"/>
          <w:sz w:val="15"/>
          <w:szCs w:val="15"/>
        </w:rPr>
        <w:t xml:space="preserve">The original ideas, analysis, and research synthesis in this report are the intellectual contribution of the authors. AI-assisted tools were used to enhance the clarity and presentation of the writing.</w:t>
      </w:r>
    </w:p>
    <w:sectPr>
      <w:pgSz w:w="16838" w:h="11906" w:orient="landscape"/>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MT" w:cs="Gill Sans MT" w:eastAsia="Gill Sans MT" w:hAnsi="Gill Sans MT"/>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2026-09-03T07:09:48.279Z</dcterms:created>
  <dcterms:modified xsi:type="dcterms:W3CDTF">2026-09-03T07:09:48.291Z</dcterms:modified>
</cp:coreProperties>
</file>

<file path=docProps/custom.xml><?xml version="1.0" encoding="utf-8"?>
<Properties xmlns="http://schemas.openxmlformats.org/officeDocument/2006/custom-properties" xmlns:vt="http://schemas.openxmlformats.org/officeDocument/2006/docPropsVTypes"/>
</file>