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0D1B2A"/>
          <w:sz w:val="48"/>
        </w:rPr>
        <w:t>Bluestock Mutual Fund Analytics Platform</w:t>
      </w:r>
    </w:p>
    <w:p>
      <w:pPr>
        <w:jc w:val="center"/>
      </w:pPr>
      <w:r>
        <w:rPr>
          <w:color w:val="1B6CA8"/>
          <w:sz w:val="28"/>
        </w:rPr>
        <w:t>Final Project Report – Capstone Submission</w:t>
      </w:r>
    </w:p>
    <w:p>
      <w:pPr>
        <w:jc w:val="center"/>
      </w:pPr>
      <w:r>
        <w:rPr>
          <w:color w:val="55606B"/>
          <w:sz w:val="22"/>
        </w:rPr>
        <w:t>Date: 28 June 2026</w:t>
      </w:r>
    </w:p>
    <w:p>
      <w:pPr>
        <w:jc w:val="center"/>
      </w:pPr>
      <w:r>
        <w:rPr>
          <w:color w:val="55606B"/>
          <w:sz w:val="22"/>
        </w:rPr>
        <w:t>Author: Bluestock Internship Team</w:t>
      </w:r>
    </w:p>
    <w:p>
      <w:pPr>
        <w:jc w:val="center"/>
      </w:pPr>
      <w:r>
        <w:rPr>
          <w:color w:val="55606B"/>
          <w:sz w:val="22"/>
        </w:rPr>
        <w:t>Institution: Bluestock Fintech Private Limited</w:t>
      </w:r>
    </w:p>
    <w:p>
      <w:pPr>
        <w:jc w:val="center"/>
      </w:pPr>
      <w:r>
        <w:rPr>
          <w:color w:val="55606B"/>
          <w:sz w:val="22"/>
        </w:rPr>
        <w:t>Project: Mutual Fund Analytics Capstone (D1 – D7)</w:t>
      </w:r>
    </w:p>
    <w:p>
      <w:r>
        <w:br w:type="page"/>
      </w:r>
    </w:p>
    <w:p>
      <w:pPr>
        <w:pStyle w:val="Heading1"/>
      </w:pPr>
      <w:r>
        <w:rPr>
          <w:color w:val="0D1B2A"/>
        </w:rPr>
        <w:t>1. Executive Summary</w:t>
      </w:r>
    </w:p>
    <w:p>
      <w:r>
        <w:rPr>
          <w:b w:val="0"/>
          <w:sz w:val="22"/>
        </w:rPr>
        <w:t>The Bluestock Mutual Fund Analytics Platform is an enterprise-grade financial data engineering and analytics solution. Built as a seven-deliverable capstone project, the platform ingests 10 raw CSV datasets containing over 46,000 NAV records, 32,778 investor transactions, and active portfolio holdings. It orchestrates a full ETL pipeline, populates a relational SQLite star-schema database, and surfaces advanced financial analytics through an interactive Streamlit dashboard and a rule-based recommendation engine.</w:t>
      </w:r>
    </w:p>
    <w:p/>
    <w:p>
      <w:r>
        <w:rPr>
          <w:b/>
          <w:sz w:val="22"/>
        </w:rPr>
        <w:t>Key Platform Metrics:</w:t>
      </w:r>
    </w:p>
    <w:p>
      <w:pPr>
        <w:pStyle w:val="ListBullet"/>
        <w:ind w:left="283"/>
      </w:pPr>
      <w:r>
        <w:rPr>
          <w:sz w:val="21"/>
        </w:rPr>
        <w:t>Total Platform AUM: INR 62.74 Lakh Crore across 10 fund houses</w:t>
      </w:r>
    </w:p>
    <w:p>
      <w:pPr>
        <w:pStyle w:val="ListBullet"/>
        <w:ind w:left="283"/>
      </w:pPr>
      <w:r>
        <w:rPr>
          <w:sz w:val="21"/>
        </w:rPr>
        <w:t>Monthly Industry SIP Inflows: INR 31,002 Crore (Dec 2025)</w:t>
      </w:r>
    </w:p>
    <w:p>
      <w:pPr>
        <w:pStyle w:val="ListBullet"/>
        <w:ind w:left="283"/>
      </w:pPr>
      <w:r>
        <w:rPr>
          <w:sz w:val="21"/>
        </w:rPr>
        <w:t>Active SIP Accounts: 9.35 Crore</w:t>
      </w:r>
    </w:p>
    <w:p>
      <w:pPr>
        <w:pStyle w:val="ListBullet"/>
        <w:ind w:left="283"/>
      </w:pPr>
      <w:r>
        <w:rPr>
          <w:sz w:val="21"/>
        </w:rPr>
        <w:t>Unique Investor Transactions: 32,778</w:t>
      </w:r>
    </w:p>
    <w:p>
      <w:pPr>
        <w:pStyle w:val="ListBullet"/>
        <w:ind w:left="283"/>
      </w:pPr>
      <w:r>
        <w:rPr>
          <w:sz w:val="21"/>
        </w:rPr>
        <w:t>NAV Records: 46,000+ across 40 schemes (2022–2025)</w:t>
      </w:r>
    </w:p>
    <w:p>
      <w:pPr>
        <w:pStyle w:val="ListBullet"/>
        <w:ind w:left="283"/>
      </w:pPr>
      <w:r>
        <w:rPr>
          <w:sz w:val="21"/>
        </w:rPr>
        <w:t>Database Tables: 11 (2 dimension + 9 fact/helper)</w:t>
      </w:r>
    </w:p>
    <w:p>
      <w:pPr>
        <w:pStyle w:val="ListBullet"/>
        <w:ind w:left="283"/>
      </w:pPr>
      <w:r>
        <w:rPr>
          <w:sz w:val="21"/>
        </w:rPr>
        <w:t>Analytical Charts Generated: 19+ (static + interactive)</w:t>
      </w:r>
    </w:p>
    <w:p>
      <w:pPr>
        <w:pStyle w:val="ListBullet"/>
        <w:ind w:left="283"/>
      </w:pPr>
      <w:r>
        <w:rPr>
          <w:sz w:val="21"/>
        </w:rPr>
        <w:t>Deliverables Completed: D1 ETL, D2 Database, D3 EDA, D4 Performance, D5 Dashboard, D6 Advanced Analytics, D7 Documentation</w:t>
      </w:r>
    </w:p>
    <w:p>
      <w:r>
        <w:br w:type="page"/>
      </w:r>
    </w:p>
    <w:p>
      <w:pPr>
        <w:pStyle w:val="Heading1"/>
      </w:pPr>
      <w:r>
        <w:rPr>
          <w:color w:val="0D1B2A"/>
        </w:rPr>
        <w:t>2. Problem Statement</w:t>
      </w:r>
    </w:p>
    <w:p>
      <w:r>
        <w:rPr>
          <w:b w:val="0"/>
          <w:sz w:val="22"/>
        </w:rPr>
        <w:t>India's mutual fund industry manages over INR 50 Lakh Crore in assets across thousands of schemes, yet retail investors often lack access to professional-grade risk analytics, portfolio diversification tools, and personalised investment guidance. Existing platforms focus on raw return figures without adequately communicating risk-adjusted performance, drawdown exposure, or correlation-driven diversification.</w:t>
      </w:r>
    </w:p>
    <w:p/>
    <w:p>
      <w:r>
        <w:rPr>
          <w:b/>
          <w:sz w:val="22"/>
        </w:rPr>
        <w:t>Core Problems Addressed:</w:t>
      </w:r>
    </w:p>
    <w:p>
      <w:pPr>
        <w:pStyle w:val="ListBullet"/>
        <w:ind w:left="283"/>
      </w:pPr>
      <w:r>
        <w:rPr>
          <w:sz w:val="21"/>
        </w:rPr>
        <w:t>Fragmented raw data across multiple CSVs with missing values and inconsistent formats</w:t>
      </w:r>
    </w:p>
    <w:p>
      <w:pPr>
        <w:pStyle w:val="ListBullet"/>
        <w:ind w:left="283"/>
      </w:pPr>
      <w:r>
        <w:rPr>
          <w:sz w:val="21"/>
        </w:rPr>
        <w:t>No centralised relational database for multi-dimensional querying</w:t>
      </w:r>
    </w:p>
    <w:p>
      <w:pPr>
        <w:pStyle w:val="ListBullet"/>
        <w:ind w:left="283"/>
      </w:pPr>
      <w:r>
        <w:rPr>
          <w:sz w:val="21"/>
        </w:rPr>
        <w:t>Retail investors unable to compare funds on Sharpe Ratio, VaR, or drawdown metrics</w:t>
      </w:r>
    </w:p>
    <w:p>
      <w:pPr>
        <w:pStyle w:val="ListBullet"/>
        <w:ind w:left="283"/>
      </w:pPr>
      <w:r>
        <w:rPr>
          <w:sz w:val="21"/>
        </w:rPr>
        <w:t>Absence of a personalised, rule-based fund recommendation engine</w:t>
      </w:r>
    </w:p>
    <w:p>
      <w:pPr>
        <w:pStyle w:val="ListBullet"/>
        <w:ind w:left="283"/>
      </w:pPr>
      <w:r>
        <w:rPr>
          <w:sz w:val="21"/>
        </w:rPr>
        <w:t>No interactive dashboard for real-time exploration of fund performance</w:t>
      </w:r>
    </w:p>
    <w:p>
      <w:r>
        <w:br w:type="page"/>
      </w:r>
    </w:p>
    <w:p>
      <w:pPr>
        <w:pStyle w:val="Heading1"/>
      </w:pPr>
      <w:r>
        <w:rPr>
          <w:color w:val="0D1B2A"/>
        </w:rPr>
        <w:t>3. Objectives</w:t>
      </w:r>
    </w:p>
    <w:p>
      <w:r>
        <w:rPr>
          <w:b/>
          <w:sz w:val="22"/>
        </w:rPr>
        <w:t xml:space="preserve">D1 – ETL Pipeline: </w:t>
      </w:r>
      <w:r>
        <w:rPr>
          <w:sz w:val="22"/>
        </w:rPr>
        <w:t>Ingest, clean, and standardise 10 raw CSV datasets into a validated processed layer.</w:t>
      </w:r>
    </w:p>
    <w:p>
      <w:r>
        <w:rPr>
          <w:b/>
          <w:sz w:val="22"/>
        </w:rPr>
        <w:t xml:space="preserve">D2 – SQLite Database: </w:t>
      </w:r>
      <w:r>
        <w:rPr>
          <w:sz w:val="22"/>
        </w:rPr>
        <w:t>Design and populate a star-schema relational database with zero foreign-key violations.</w:t>
      </w:r>
    </w:p>
    <w:p>
      <w:r>
        <w:rPr>
          <w:b/>
          <w:sz w:val="22"/>
        </w:rPr>
        <w:t xml:space="preserve">D3 – Exploratory Data Analysis: </w:t>
      </w:r>
      <w:r>
        <w:rPr>
          <w:sz w:val="22"/>
        </w:rPr>
        <w:t>Generate 7+ premium static charts revealing key trends across NAV, AUM, SIP, and transactions.</w:t>
      </w:r>
    </w:p>
    <w:p>
      <w:r>
        <w:rPr>
          <w:b/>
          <w:sz w:val="22"/>
        </w:rPr>
        <w:t xml:space="preserve">D4 – Performance Analytics: </w:t>
      </w:r>
      <w:r>
        <w:rPr>
          <w:sz w:val="22"/>
        </w:rPr>
        <w:t>Compute CAGR, Sharpe, Sortino, Beta, Alpha, Max Drawdown, and Rolling Returns for all 40 schemes.</w:t>
      </w:r>
    </w:p>
    <w:p>
      <w:r>
        <w:rPr>
          <w:b/>
          <w:sz w:val="22"/>
        </w:rPr>
        <w:t xml:space="preserve">D5 – Streamlit Dashboard: </w:t>
      </w:r>
      <w:r>
        <w:rPr>
          <w:sz w:val="22"/>
        </w:rPr>
        <w:t>Build a multi-page interactive dashboard with live filtering, Bollinger Bands, wealth simulators, and PDF export.</w:t>
      </w:r>
    </w:p>
    <w:p>
      <w:r>
        <w:rPr>
          <w:b/>
          <w:sz w:val="22"/>
        </w:rPr>
        <w:t xml:space="preserve">D6 – Advanced Analytics: </w:t>
      </w:r>
      <w:r>
        <w:rPr>
          <w:sz w:val="22"/>
        </w:rPr>
        <w:t>Implement VaR analysis, cohort analysis, correlation heatmaps, and a rule-based recommendation engine.</w:t>
      </w:r>
    </w:p>
    <w:p>
      <w:r>
        <w:rPr>
          <w:b/>
          <w:sz w:val="22"/>
        </w:rPr>
        <w:t xml:space="preserve">D7 – Final Documentation: </w:t>
      </w:r>
      <w:r>
        <w:rPr>
          <w:sz w:val="22"/>
        </w:rPr>
        <w:t>Produce a professional report (DOCX + PDF) and presentation (PPTX) summarising all deliverables.</w:t>
      </w:r>
    </w:p>
    <w:p>
      <w:r>
        <w:br w:type="page"/>
      </w:r>
    </w:p>
    <w:p>
      <w:pPr>
        <w:pStyle w:val="Heading1"/>
      </w:pPr>
      <w:r>
        <w:rPr>
          <w:color w:val="0D1B2A"/>
        </w:rPr>
        <w:t>4. Dataset Description</w:t>
      </w:r>
    </w:p>
    <w:p>
      <w:r>
        <w:rPr>
          <w:b w:val="0"/>
          <w:sz w:val="22"/>
        </w:rPr>
        <w:t>The project uses 10 curated CSV datasets representing real-world mutual fund data sourced from AMFI (Association of Mutual Funds in India) and derived from industry publications.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Key Columns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01_fund_master.csv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41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Fund metadata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amfi_code, category, benchmark, risk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02_nav_history.csv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46,000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Daily NAV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amfi_code, date, nav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03_aum_by_fund_house.csv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90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Monthly AUM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fund_house, date, aum_crore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04_monthly_sip_inflows.csv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48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Industry SIP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month, sip_inflow_crore, accounts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05_category_inflows.csv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144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Category flows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category, month, net_inflow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06_industry_folio_count.csv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21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Folio counts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equity, debt, hybrid folios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07_scheme_performance.csv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41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Risk metrics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sharpe, alpha, beta, drawdown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08_investor_transactions.csv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32,778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type, amount, payment_mode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09_portfolio_holdings.csv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322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Stock holdings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sector, weight_pct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10_benchmark_indices.csv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8,050 rows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Index prices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index_name, date, close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2A"/>
        </w:rPr>
        <w:t>5. ETL Pipeline (D1)</w:t>
      </w:r>
    </w:p>
    <w:p>
      <w:r>
        <w:rPr>
          <w:b w:val="0"/>
          <w:sz w:val="22"/>
        </w:rPr>
        <w:t>The Extract-Transform-Load pipeline standardises all raw data into a validated processed layer before database insertion. Three scripts handle each stage:</w:t>
      </w:r>
    </w:p>
    <w:p/>
    <w:p>
      <w:r>
        <w:rPr>
          <w:b/>
          <w:sz w:val="22"/>
        </w:rPr>
        <w:t>Extract (data_ingestion.py)</w:t>
      </w:r>
    </w:p>
    <w:p>
      <w:r>
        <w:rPr>
          <w:b w:val="0"/>
          <w:sz w:val="22"/>
        </w:rPr>
        <w:t>Reads raw CSVs, validates schema completeness, checks amfi_code referential integrity, and fetches live NAV data from mfapi.in API for 5 selected schemes.</w:t>
      </w:r>
    </w:p>
    <w:p/>
    <w:p>
      <w:r>
        <w:rPr>
          <w:b/>
          <w:sz w:val="22"/>
        </w:rPr>
        <w:t>Transform (data_cleaning.py)</w:t>
      </w:r>
    </w:p>
    <w:p>
      <w:r>
        <w:rPr>
          <w:b w:val="0"/>
          <w:sz w:val="22"/>
        </w:rPr>
        <w:t>Applies pandas forward-fill for missing NAV dates (weekends/holidays), standardises date formats to ISO 8601, normalises portfolio weights to ensure sum &lt;= 100%, and removes invalid transaction records.</w:t>
      </w:r>
    </w:p>
    <w:p/>
    <w:p>
      <w:r>
        <w:rPr>
          <w:b/>
          <w:sz w:val="22"/>
        </w:rPr>
        <w:t>Load (database_loading.py)</w:t>
      </w:r>
    </w:p>
    <w:p>
      <w:r>
        <w:rPr>
          <w:b w:val="0"/>
          <w:sz w:val="22"/>
        </w:rPr>
        <w:t>Creates 11 SQLite tables per star-schema DDL (schema.sql), validates foreign key references, and bulk-inserts all 10 processed CSVs with zero constraint violations.</w:t>
      </w:r>
    </w:p>
    <w:p/>
    <w:p>
      <w:r>
        <w:br w:type="page"/>
      </w:r>
    </w:p>
    <w:p>
      <w:pPr>
        <w:pStyle w:val="Heading1"/>
      </w:pPr>
      <w:r>
        <w:rPr>
          <w:color w:val="0D1B2A"/>
        </w:rPr>
        <w:t>6. Database Design (D2)</w:t>
      </w:r>
    </w:p>
    <w:p>
      <w:r>
        <w:rPr>
          <w:b w:val="0"/>
          <w:sz w:val="22"/>
        </w:rPr>
        <w:t>The SQLite database implements a Star Schema optimised for financial reporting queries. The schema contains 2 dimension tables and 9 fact/helper tables.</w:t>
      </w:r>
    </w:p>
    <w:p/>
    <w:p>
      <w:r>
        <w:rPr>
          <w:b/>
          <w:sz w:val="22"/>
        </w:rPr>
        <w:t>Schema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dim_fund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Fund metadata dimension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dim_date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1,297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Pre-populated date dimension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fact_nav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46,000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Daily NAV history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fact_performance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Risk-adjusted metrics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fact_transactions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32,778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Investor transaction log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fact_portfolio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322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Stock holdings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fact_aum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Monthly AUM by fund house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fact_benchmark_indices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8,050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Index closing prices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fact_sip_industry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Monthly SIP inflows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fact_category_inflows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Net inflows by category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fact_industry_folios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Total folio counts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2A"/>
        </w:rPr>
        <w:t>7. Exploratory Data Analysis (D3)</w:t>
      </w:r>
    </w:p>
    <w:p>
      <w:pPr>
        <w:pStyle w:val="Heading2"/>
      </w:pPr>
      <w:r>
        <w:rPr>
          <w:color w:val="1B6CA8"/>
        </w:rPr>
        <w:t>NAV Trends</w:t>
      </w:r>
    </w:p>
    <w:p>
      <w:r>
        <w:rPr>
          <w:b w:val="0"/>
          <w:sz w:val="22"/>
        </w:rPr>
        <w:t>Equity large-cap funds show cyclical fluctuations with strong upward growth. Liquid debt schemes remain highly linear, prioritising wealth preservation.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v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Figure: NAV Trends</w:t>
      </w:r>
    </w:p>
    <w:p/>
    <w:p>
      <w:pPr>
        <w:pStyle w:val="Heading2"/>
      </w:pPr>
      <w:r>
        <w:rPr>
          <w:color w:val="1B6CA8"/>
        </w:rPr>
        <w:t>SIP Inflow Growth</w:t>
      </w:r>
    </w:p>
    <w:p>
      <w:r>
        <w:rPr>
          <w:b w:val="0"/>
          <w:sz w:val="22"/>
        </w:rPr>
        <w:t>Active SIP accounts grew from ~4.9 Cr to 9.35 Cr; monthly inflows rose from INR 11,500 Cr to INR 31,002 Cr – demonstrating resilient retail investor confidence.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p_infl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Figure: SIP Inflow Growth</w:t>
      </w:r>
    </w:p>
    <w:p/>
    <w:p>
      <w:pPr>
        <w:pStyle w:val="Heading2"/>
      </w:pPr>
      <w:r>
        <w:rPr>
          <w:color w:val="1B6CA8"/>
        </w:rPr>
        <w:t>AUM Distribution</w:t>
      </w:r>
    </w:p>
    <w:p>
      <w:r>
        <w:rPr>
          <w:b w:val="0"/>
          <w:sz w:val="22"/>
        </w:rPr>
        <w:t>SBI Mutual Fund leads with INR 12.5 Lakh Crore AUM, followed by ICICI Prudential (10.74) and HDFC (9.3). Bank-backed fund houses dominate due to branch network leverage.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m_grow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Figure: AUM Distribution</w:t>
      </w:r>
    </w:p>
    <w:p/>
    <w:p>
      <w:pPr>
        <w:pStyle w:val="Heading2"/>
      </w:pPr>
      <w:r>
        <w:rPr>
          <w:color w:val="1B6CA8"/>
        </w:rPr>
        <w:t>Risk-Return Scatter</w:t>
      </w:r>
    </w:p>
    <w:p>
      <w:r>
        <w:rPr>
          <w:b w:val="0"/>
          <w:sz w:val="22"/>
        </w:rPr>
        <w:t>Large-cap and mid-cap equity schemes offer 12–15% CAGR at 13–19% volatility. Gilt and liquid funds cluster in the low-risk, low-return quadrant.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ret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Figure: Risk-Return Scatter</w:t>
      </w:r>
    </w:p>
    <w:p/>
    <w:p>
      <w:r>
        <w:br w:type="page"/>
      </w:r>
    </w:p>
    <w:p>
      <w:pPr>
        <w:pStyle w:val="Heading1"/>
      </w:pPr>
      <w:r>
        <w:rPr>
          <w:color w:val="0D1B2A"/>
        </w:rPr>
        <w:t>8. Performance Analytics (D4)</w:t>
      </w:r>
    </w:p>
    <w:p>
      <w:pPr>
        <w:pStyle w:val="Heading2"/>
      </w:pPr>
      <w:r>
        <w:rPr>
          <w:color w:val="1B6CA8"/>
        </w:rPr>
        <w:t>CAGR (Compound Annual Growth Rate)</w:t>
      </w:r>
    </w:p>
    <w:p>
      <w:r>
        <w:rPr>
          <w:rFonts w:ascii="Courier New" w:hAnsi="Courier New"/>
          <w:color w:val="007ACC"/>
          <w:sz w:val="20"/>
        </w:rPr>
        <w:t xml:space="preserve">  CAGR = (End_NAV / Start_NAV)^(1/years) - 1</w:t>
      </w:r>
    </w:p>
    <w:p>
      <w:r>
        <w:rPr>
          <w:b w:val="0"/>
          <w:sz w:val="22"/>
        </w:rPr>
        <w:t>Measures annualised NAV growth over a multi-year period, eliminating volatility noise.</w:t>
      </w:r>
    </w:p>
    <w:p/>
    <w:p>
      <w:pPr>
        <w:pStyle w:val="Heading2"/>
      </w:pPr>
      <w:r>
        <w:rPr>
          <w:color w:val="1B6CA8"/>
        </w:rPr>
        <w:t>Sharpe Ratio</w:t>
      </w:r>
    </w:p>
    <w:p>
      <w:r>
        <w:rPr>
          <w:rFonts w:ascii="Courier New" w:hAnsi="Courier New"/>
          <w:color w:val="007ACC"/>
          <w:sz w:val="20"/>
        </w:rPr>
        <w:t xml:space="preserve">  Sharpe = (R_p - R_f) / sigma_p   [R_f = 5%]</w:t>
      </w:r>
    </w:p>
    <w:p>
      <w:r>
        <w:rPr>
          <w:b w:val="0"/>
          <w:sz w:val="22"/>
        </w:rPr>
        <w:t>Quantifies excess return per unit of total risk. Funds with Sharpe &gt; 1.0 offer superior risk-adjusted performance.</w:t>
      </w:r>
    </w:p>
    <w:p/>
    <w:p>
      <w:pPr>
        <w:pStyle w:val="Heading2"/>
      </w:pPr>
      <w:r>
        <w:rPr>
          <w:color w:val="1B6CA8"/>
        </w:rPr>
        <w:t>Sortino Ratio</w:t>
      </w:r>
    </w:p>
    <w:p>
      <w:r>
        <w:rPr>
          <w:rFonts w:ascii="Courier New" w:hAnsi="Courier New"/>
          <w:color w:val="007ACC"/>
          <w:sz w:val="20"/>
        </w:rPr>
        <w:t xml:space="preserve">  Sortino = (R_p - R_f) / downside_sigma</w:t>
      </w:r>
    </w:p>
    <w:p>
      <w:r>
        <w:rPr>
          <w:b w:val="0"/>
          <w:sz w:val="22"/>
        </w:rPr>
        <w:t>Variant of Sharpe using only downside volatility – more appropriate for asymmetric return distributions.</w:t>
      </w:r>
    </w:p>
    <w:p/>
    <w:p>
      <w:pPr>
        <w:pStyle w:val="Heading2"/>
      </w:pPr>
      <w:r>
        <w:rPr>
          <w:color w:val="1B6CA8"/>
        </w:rPr>
        <w:t>Beta</w:t>
      </w:r>
    </w:p>
    <w:p>
      <w:r>
        <w:rPr>
          <w:rFonts w:ascii="Courier New" w:hAnsi="Courier New"/>
          <w:color w:val="007ACC"/>
          <w:sz w:val="20"/>
        </w:rPr>
        <w:t xml:space="preserve">  Beta = Cov(R_fund, R_market) / Var(R_market)</w:t>
      </w:r>
    </w:p>
    <w:p>
      <w:r>
        <w:rPr>
          <w:b w:val="0"/>
          <w:sz w:val="22"/>
        </w:rPr>
        <w:t>Measures market sensitivity. Beta &lt; 1 implies defensive behaviour; Beta &gt; 1 implies amplified market moves.</w:t>
      </w:r>
    </w:p>
    <w:p/>
    <w:p>
      <w:pPr>
        <w:pStyle w:val="Heading2"/>
      </w:pPr>
      <w:r>
        <w:rPr>
          <w:color w:val="1B6CA8"/>
        </w:rPr>
        <w:t>Jensen's Alpha</w:t>
      </w:r>
    </w:p>
    <w:p>
      <w:r>
        <w:rPr>
          <w:rFonts w:ascii="Courier New" w:hAnsi="Courier New"/>
          <w:color w:val="007ACC"/>
          <w:sz w:val="20"/>
        </w:rPr>
        <w:t xml:space="preserve">  Alpha = R_p - [R_f + Beta * (R_m - R_f)]</w:t>
      </w:r>
    </w:p>
    <w:p>
      <w:r>
        <w:rPr>
          <w:b w:val="0"/>
          <w:sz w:val="22"/>
        </w:rPr>
        <w:t>Measures excess return above what CAPM predicts. Positive alpha indicates superior fund manager skill.</w:t>
      </w:r>
    </w:p>
    <w:p/>
    <w:p>
      <w:pPr>
        <w:pStyle w:val="Heading2"/>
      </w:pPr>
      <w:r>
        <w:rPr>
          <w:color w:val="1B6CA8"/>
        </w:rPr>
        <w:t>Value at Risk (VaR 95%)</w:t>
      </w:r>
    </w:p>
    <w:p>
      <w:r>
        <w:rPr>
          <w:rFonts w:ascii="Courier New" w:hAnsi="Courier New"/>
          <w:color w:val="007ACC"/>
          <w:sz w:val="20"/>
        </w:rPr>
        <w:t xml:space="preserve">  Historical: 5th percentile of return distribution | Parametric: mu - 1.645*sigma</w:t>
      </w:r>
    </w:p>
    <w:p>
      <w:r>
        <w:rPr>
          <w:b w:val="0"/>
          <w:sz w:val="22"/>
        </w:rPr>
        <w:t>Maximum expected 1-day loss at 95% confidence. Equity small-cap funds show VaR ~2% daily; liquid funds near zero.</w:t>
      </w:r>
    </w:p>
    <w:p/>
    <w:p>
      <w:pPr>
        <w:pStyle w:val="Heading2"/>
      </w:pPr>
      <w:r>
        <w:rPr>
          <w:color w:val="1B6CA8"/>
        </w:rPr>
        <w:t>Maximum Drawdown</w:t>
      </w:r>
    </w:p>
    <w:p>
      <w:r>
        <w:rPr>
          <w:rFonts w:ascii="Courier New" w:hAnsi="Courier New"/>
          <w:color w:val="007ACC"/>
          <w:sz w:val="20"/>
        </w:rPr>
        <w:t xml:space="preserve">  MDD = (Peak_NAV - Trough_NAV) / Peak_NAV</w:t>
      </w:r>
    </w:p>
    <w:p>
      <w:r>
        <w:rPr>
          <w:b w:val="0"/>
          <w:sz w:val="22"/>
        </w:rPr>
        <w:t>Largest peak-to-trough NAV decline in history. Small-cap funds show MDD of 13–33%; gilt funds &lt; 3%.</w:t>
      </w:r>
    </w:p>
    <w:p/>
    <w:p>
      <w:pPr>
        <w:pStyle w:val="Heading2"/>
      </w:pPr>
      <w:r>
        <w:rPr>
          <w:color w:val="1B6CA8"/>
        </w:rPr>
        <w:t>Top Performing Schemes (Sharpe &gt; 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Scheme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3yr CAGR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Sharpe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Max DD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sz w:val="18"/>
              </w:rPr>
              <w:t>HDFC Top 100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Large Cap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14.84%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-17.4%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sz w:val="18"/>
              </w:rPr>
              <w:t>Mirae Asset Large Cap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Large Cap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14.81%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-17.1%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sz w:val="18"/>
              </w:rPr>
              <w:t>ICICI Pru Bluechip D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Large Cap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14.41%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1.03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-26.6%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sz w:val="18"/>
              </w:rPr>
              <w:t>HDFC Short Term Debt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Debt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7.37%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1.84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-6.0%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sz w:val="18"/>
              </w:rPr>
              <w:t>SBI Magnum Gilt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Gilt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6.07%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1.52</w:t>
            </w:r>
          </w:p>
        </w:tc>
        <w:tc>
          <w:tcPr>
            <w:tcW w:type="dxa" w:w="1881"/>
          </w:tcPr>
          <w:p>
            <w:r>
              <w:rPr>
                <w:b w:val="0"/>
                <w:sz w:val="18"/>
              </w:rPr>
              <w:t>-2.3%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1950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va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Chart: Historical vs Parametric VaR (95%) by Scheme</w:t>
      </w:r>
    </w:p>
    <w:p>
      <w:r>
        <w:drawing>
          <wp:inline xmlns:a="http://schemas.openxmlformats.org/drawingml/2006/main" xmlns:pic="http://schemas.openxmlformats.org/drawingml/2006/picture">
            <wp:extent cx="5029200" cy="2055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_max_draw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5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Chart: Average Maximum Drawdown by Category</w:t>
      </w:r>
    </w:p>
    <w:p>
      <w:r>
        <w:br w:type="page"/>
      </w:r>
    </w:p>
    <w:p>
      <w:pPr>
        <w:pStyle w:val="Heading1"/>
      </w:pPr>
      <w:r>
        <w:rPr>
          <w:color w:val="0D1B2A"/>
        </w:rPr>
        <w:t>9. Dashboard Overview (D5)</w:t>
      </w:r>
    </w:p>
    <w:p>
      <w:r>
        <w:rPr>
          <w:b w:val="0"/>
          <w:sz w:val="22"/>
        </w:rPr>
        <w:t>The Streamlit dashboard provides an interactive multi-page interface for exploring all analytics. Key features include: live NAV filtering by scheme, Bollinger Band volatility channels, wealth compounding simulators, portfolio sector overlap analysis, and one-click PDF report export.</w:t>
      </w:r>
    </w:p>
    <w:p/>
    <w:p>
      <w:pPr>
        <w:pStyle w:val="Heading2"/>
      </w:pPr>
      <w:r>
        <w:rPr>
          <w:color w:val="1B6CA8"/>
        </w:rPr>
        <w:t>Executive Overview &amp; KPIs</w:t>
      </w:r>
    </w:p>
    <w:p>
      <w:r>
        <w:rPr>
          <w:b w:val="0"/>
          <w:sz w:val="22"/>
        </w:rPr>
        <w:t>Landing page showing platform-wide AUM, SIP inflows, active accounts, and scheme count KPI cards.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executive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Dashboard: Executive Overview &amp; KPIs</w:t>
      </w:r>
    </w:p>
    <w:p/>
    <w:p>
      <w:pPr>
        <w:pStyle w:val="Heading2"/>
      </w:pPr>
      <w:r>
        <w:rPr>
          <w:color w:val="1B6CA8"/>
        </w:rPr>
        <w:t>Performance Analytics</w:t>
      </w:r>
    </w:p>
    <w:p>
      <w:r>
        <w:rPr>
          <w:b w:val="0"/>
          <w:sz w:val="22"/>
        </w:rPr>
        <w:t>Detailed risk-adjusted metrics table with Sharpe, Sortino, Beta, Alpha, and Drawdown columns.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erformance_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Dashboard: Performance Analytics</w:t>
      </w:r>
    </w:p>
    <w:p/>
    <w:p>
      <w:pPr>
        <w:pStyle w:val="Heading2"/>
      </w:pPr>
      <w:r>
        <w:rPr>
          <w:color w:val="1B6CA8"/>
        </w:rPr>
        <w:t>Portfolio Allocation</w:t>
      </w:r>
    </w:p>
    <w:p>
      <w:r>
        <w:rPr>
          <w:b w:val="0"/>
          <w:sz w:val="22"/>
        </w:rPr>
        <w:t>Sector allocation breakdown across selected funds with overlap detection.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portfolio_allo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Dashboard: Portfolio Allocation</w:t>
      </w:r>
    </w:p>
    <w:p/>
    <w:p>
      <w:pPr>
        <w:pStyle w:val="Heading2"/>
      </w:pPr>
      <w:r>
        <w:rPr>
          <w:color w:val="1B6CA8"/>
        </w:rPr>
        <w:t>Risk Analytics</w:t>
      </w:r>
    </w:p>
    <w:p>
      <w:r>
        <w:rPr>
          <w:b w:val="0"/>
          <w:sz w:val="22"/>
        </w:rPr>
        <w:t>Bollinger Band NAV chart, rolling returns, and drawdown timeline for selected scheme.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risk_analy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Dashboard: Risk Analytics</w:t>
      </w:r>
    </w:p>
    <w:p/>
    <w:p>
      <w:r>
        <w:br w:type="page"/>
      </w:r>
    </w:p>
    <w:p>
      <w:pPr>
        <w:pStyle w:val="Heading1"/>
      </w:pPr>
      <w:r>
        <w:rPr>
          <w:color w:val="0D1B2A"/>
        </w:rPr>
        <w:t>10. Recommendation Engine (D6)</w:t>
      </w:r>
    </w:p>
    <w:p>
      <w:r>
        <w:rPr>
          <w:b w:val="0"/>
          <w:sz w:val="22"/>
        </w:rPr>
        <w:t>A rule-based fund recommender (scripts/recommender.py) matches investor profiles to suitable mutual fund schemes using a weighted composite scoring model.</w:t>
      </w:r>
    </w:p>
    <w:p/>
    <w:p>
      <w:r>
        <w:rPr>
          <w:b/>
          <w:sz w:val="22"/>
        </w:rPr>
        <w:t>Input Parameters:</w:t>
      </w:r>
    </w:p>
    <w:p>
      <w:pPr>
        <w:pStyle w:val="ListBullet"/>
        <w:ind w:left="283"/>
      </w:pPr>
      <w:r>
        <w:rPr>
          <w:sz w:val="21"/>
        </w:rPr>
        <w:t>Risk Appetite: Conservative | Moderate | Aggressive</w:t>
      </w:r>
    </w:p>
    <w:p>
      <w:pPr>
        <w:pStyle w:val="ListBullet"/>
        <w:ind w:left="283"/>
      </w:pPr>
      <w:r>
        <w:rPr>
          <w:sz w:val="21"/>
        </w:rPr>
        <w:t>Investment Horizon: in years (e.g., 2, 5, 10)</w:t>
      </w:r>
    </w:p>
    <w:p>
      <w:pPr>
        <w:pStyle w:val="ListBullet"/>
        <w:ind w:left="283"/>
      </w:pPr>
      <w:r>
        <w:rPr>
          <w:sz w:val="21"/>
        </w:rPr>
        <w:t>Preferred Category: Large Cap, Mid Cap, Small Cap, Gilt, etc.</w:t>
      </w:r>
    </w:p>
    <w:p/>
    <w:p>
      <w:r>
        <w:rPr>
          <w:b/>
          <w:sz w:val="22"/>
        </w:rPr>
        <w:t>Scoring Formula:</w:t>
      </w:r>
    </w:p>
    <w:p>
      <w:r>
        <w:rPr>
          <w:rFonts w:ascii="Courier New" w:hAnsi="Courier New"/>
          <w:color w:val="007ACC"/>
          <w:sz w:val="20"/>
        </w:rPr>
        <w:t xml:space="preserve">  Score = sum(weight_i * normalised(metric_i))  [scaled 0-100]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Conservative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Aggressive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Sharpe Ratio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3-Year CAGR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45%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Volatility (inverted)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18"/>
              </w:rPr>
              <w:t>Max Drawdown (inv.)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25%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1469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8_recommender_sco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Chart: Recommendation Scores by Risk Profile</w:t>
      </w:r>
    </w:p>
    <w:p>
      <w:r>
        <w:br w:type="page"/>
      </w:r>
    </w:p>
    <w:p>
      <w:pPr>
        <w:pStyle w:val="Heading1"/>
      </w:pPr>
      <w:r>
        <w:rPr>
          <w:color w:val="0D1B2A"/>
        </w:rPr>
        <w:t>11. Key Business Insights</w:t>
      </w:r>
    </w:p>
    <w:p>
      <w:pPr>
        <w:pStyle w:val="ListBullet"/>
        <w:ind w:left="283"/>
      </w:pPr>
      <w:r>
        <w:rPr>
          <w:sz w:val="21"/>
        </w:rPr>
        <w:t>Insight 1: Small Cap funds deliver highest CAGR (~21-24%) but at ~25% annualised volatility – suitable only for 7+ year horizons.</w:t>
      </w:r>
    </w:p>
    <w:p>
      <w:pPr>
        <w:pStyle w:val="ListBullet"/>
        <w:ind w:left="283"/>
      </w:pPr>
      <w:r>
        <w:rPr>
          <w:sz w:val="21"/>
        </w:rPr>
        <w:t>Insight 2: Direct Plans outperform Regular Plans by 60-120 bps per annum due to lower expense ratios; compounding amplifies this gap significantly over time.</w:t>
      </w:r>
    </w:p>
    <w:p>
      <w:pPr>
        <w:pStyle w:val="ListBullet"/>
        <w:ind w:left="283"/>
      </w:pPr>
      <w:r>
        <w:rPr>
          <w:sz w:val="21"/>
        </w:rPr>
        <w:t>Insight 3: Large Cap and Index funds are highly correlated (rho &gt; 0.9) – holding both provides negligible diversification benefit.</w:t>
      </w:r>
    </w:p>
    <w:p>
      <w:pPr>
        <w:pStyle w:val="ListBullet"/>
        <w:ind w:left="283"/>
      </w:pPr>
      <w:r>
        <w:rPr>
          <w:sz w:val="21"/>
        </w:rPr>
        <w:t>Insight 4: Gilt funds show near-zero or negative correlation with equity during market stress, making them effective portfolio hedges.</w:t>
      </w:r>
    </w:p>
    <w:p>
      <w:pPr>
        <w:pStyle w:val="ListBullet"/>
        <w:ind w:left="283"/>
      </w:pPr>
      <w:r>
        <w:rPr>
          <w:sz w:val="21"/>
        </w:rPr>
        <w:t>Insight 5: Historical VaR exceeds Parametric VaR for equity funds because returns exhibit negative skewness and fat tails – Gaussian assumptions understate tail risk.</w:t>
      </w:r>
    </w:p>
    <w:p>
      <w:pPr>
        <w:pStyle w:val="ListBullet"/>
        <w:ind w:left="283"/>
      </w:pPr>
      <w:r>
        <w:rPr>
          <w:sz w:val="21"/>
        </w:rPr>
        <w:t>Insight 6: SBI, ICICI Prudential, and HDFC Mutual Fund control over 52% of total AUM, reflecting the competitive advantage of bank-distribution networks.</w:t>
      </w:r>
    </w:p>
    <w:p>
      <w:pPr>
        <w:pStyle w:val="ListBullet"/>
        <w:ind w:left="283"/>
      </w:pPr>
      <w:r>
        <w:rPr>
          <w:sz w:val="21"/>
        </w:rPr>
        <w:t>Insight 7: SIP active accounts grew 91% (from 4.9 Cr to 9.35 Cr) in 3 years, signalling a structural shift toward disciplined long-term retail investing.</w:t>
      </w:r>
    </w:p>
    <w:p>
      <w:pPr>
        <w:pStyle w:val="ListBullet"/>
        <w:ind w:left="283"/>
      </w:pPr>
      <w:r>
        <w:rPr>
          <w:sz w:val="21"/>
        </w:rPr>
        <w:t>Insight 8: Flexi-Cap funds offer the best risk-adjusted trade-off (moderate volatility, competitive CAGR, Sharpe &gt; 0.9) for moderate investors.</w:t>
      </w:r>
    </w:p>
    <w:p>
      <w:pPr>
        <w:pStyle w:val="ListBullet"/>
        <w:ind w:left="283"/>
      </w:pPr>
      <w:r>
        <w:rPr>
          <w:sz w:val="21"/>
        </w:rPr>
        <w:t>Insight 9: Financial Services and IT sectors dominate equity fund allocations (30-48% weight), creating hidden concentration risk across seemingly diversified portfolios.</w:t>
      </w:r>
    </w:p>
    <w:p>
      <w:pPr>
        <w:pStyle w:val="ListBullet"/>
        <w:ind w:left="283"/>
      </w:pPr>
      <w:r>
        <w:rPr>
          <w:sz w:val="21"/>
        </w:rPr>
        <w:t>Insight 10: Liquid funds serve as efficient cash-parking vehicles with same-day redemption, but their post-tax returns barely exceed savings account rates.</w:t>
      </w:r>
    </w:p>
    <w:p>
      <w:r>
        <w:drawing>
          <wp:inline xmlns:a="http://schemas.openxmlformats.org/drawingml/2006/main" xmlns:pic="http://schemas.openxmlformats.org/drawingml/2006/picture">
            <wp:extent cx="5029200" cy="29251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9_risk_retur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Chart: Risk-Return by Fund Category (bubble size = AUM)</w:t>
      </w:r>
    </w:p>
    <w:p>
      <w:r>
        <w:drawing>
          <wp:inline xmlns:a="http://schemas.openxmlformats.org/drawingml/2006/main" xmlns:pic="http://schemas.openxmlformats.org/drawingml/2006/picture">
            <wp:extent cx="5029200" cy="24806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_sharpe_viol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Chart: Sharpe Ratio Distribution by Equity Category</w:t>
      </w:r>
    </w:p>
    <w:p>
      <w:r>
        <w:br w:type="page"/>
      </w:r>
    </w:p>
    <w:p>
      <w:pPr>
        <w:pStyle w:val="Heading1"/>
      </w:pPr>
      <w:r>
        <w:rPr>
          <w:color w:val="0D1B2A"/>
        </w:rPr>
        <w:t>12. Challenges Faced</w:t>
      </w:r>
    </w:p>
    <w:p>
      <w:pPr>
        <w:pStyle w:val="Heading2"/>
      </w:pPr>
      <w:r>
        <w:rPr>
          <w:color w:val="1B6CA8"/>
        </w:rPr>
        <w:t>Missing NAV Dates</w:t>
      </w:r>
    </w:p>
    <w:p>
      <w:r>
        <w:rPr>
          <w:b w:val="0"/>
          <w:sz w:val="22"/>
        </w:rPr>
        <w:t>Raw daily NAV datasets contained gaps for weekends and public holidays. Solution: Forward-fill (ffill) grouped by scheme to carry last known NAV forward accurately.</w:t>
      </w:r>
    </w:p>
    <w:p>
      <w:pPr>
        <w:pStyle w:val="Heading2"/>
      </w:pPr>
      <w:r>
        <w:rPr>
          <w:color w:val="1B6CA8"/>
        </w:rPr>
        <w:t>SQLite Thread Concurrency</w:t>
      </w:r>
    </w:p>
    <w:p>
      <w:r>
        <w:rPr>
          <w:b w:val="0"/>
          <w:sz w:val="22"/>
        </w:rPr>
        <w:t>Streamlit's multi-threaded architecture caused 'SQLite objects created in a thread' errors. Solution: Used @st.cache_resource with check_same_thread=False for safe connection caching.</w:t>
      </w:r>
    </w:p>
    <w:p>
      <w:pPr>
        <w:pStyle w:val="Heading2"/>
      </w:pPr>
      <w:r>
        <w:rPr>
          <w:color w:val="1B6CA8"/>
        </w:rPr>
        <w:t>Portfolio Weight Anomalies</w:t>
      </w:r>
    </w:p>
    <w:p>
      <w:r>
        <w:rPr>
          <w:b w:val="0"/>
          <w:sz w:val="22"/>
        </w:rPr>
        <w:t>Certain portfolio holdings had weights summing &gt; 100% or negative values. Solution: Implemented normalisation and outlier-dropping rules in data_cleaning.py.</w:t>
      </w:r>
    </w:p>
    <w:p>
      <w:pPr>
        <w:pStyle w:val="Heading2"/>
      </w:pPr>
      <w:r>
        <w:rPr>
          <w:color w:val="1B6CA8"/>
        </w:rPr>
        <w:t>VaR Method Comparison</w:t>
      </w:r>
    </w:p>
    <w:p>
      <w:r>
        <w:rPr>
          <w:b w:val="0"/>
          <w:sz w:val="22"/>
        </w:rPr>
        <w:t>Parametric VaR requires normal distribution assumption which is violated for equity funds. Solution: Both Historical and Parametric VaR computed and compared, with explicit explanation of tail-risk underestimation.</w:t>
      </w:r>
    </w:p>
    <w:p>
      <w:pPr>
        <w:pStyle w:val="Heading2"/>
      </w:pPr>
      <w:r>
        <w:rPr>
          <w:color w:val="1B6CA8"/>
        </w:rPr>
        <w:t>nbformat Cell ID Warnings</w:t>
      </w:r>
    </w:p>
    <w:p>
      <w:r>
        <w:rPr>
          <w:b w:val="0"/>
          <w:sz w:val="22"/>
        </w:rPr>
        <w:t>Jupyter nbformat 5.1+ requires unique cell IDs. Solution: Added UUID-based cell IDs to all generated notebook cells.</w:t>
      </w:r>
    </w:p>
    <w:p>
      <w:pPr>
        <w:pStyle w:val="Heading2"/>
      </w:pPr>
      <w:r>
        <w:rPr>
          <w:color w:val="1B6CA8"/>
        </w:rPr>
        <w:t>Correlation Data Alignment</w:t>
      </w:r>
    </w:p>
    <w:p>
      <w:r>
        <w:rPr>
          <w:b w:val="0"/>
          <w:sz w:val="22"/>
        </w:rPr>
        <w:t>NAV pivot tables had different date ranges per fund. Solution: Used dropna() on the returns pivot to ensure only common date ranges are used for correlation.</w:t>
      </w:r>
    </w:p>
    <w:p>
      <w:r>
        <w:br w:type="page"/>
      </w:r>
    </w:p>
    <w:p>
      <w:pPr>
        <w:pStyle w:val="Heading1"/>
      </w:pPr>
      <w:r>
        <w:rPr>
          <w:color w:val="0D1B2A"/>
        </w:rPr>
        <w:t>13. Future Improvements</w:t>
      </w:r>
    </w:p>
    <w:p>
      <w:pPr>
        <w:pStyle w:val="ListBullet"/>
        <w:ind w:left="283"/>
      </w:pPr>
      <w:r>
        <w:rPr>
          <w:sz w:val="21"/>
        </w:rPr>
        <w:t>1. Advanced ML Forecasting: Replace polynomial curve fitting with LSTM or ARIMA models to incorporate macroeconomic indicators (inflation, RBI repo rate) for NAV prediction.</w:t>
      </w:r>
    </w:p>
    <w:p>
      <w:pPr>
        <w:pStyle w:val="ListBullet"/>
        <w:ind w:left="283"/>
      </w:pPr>
      <w:r>
        <w:rPr>
          <w:sz w:val="21"/>
        </w:rPr>
        <w:t>2. User Authentication &amp; Portfolios: Add login system enabling users to build virtual watchlists, track personalised holdings, and receive SMS/email rebalancing alerts.</w:t>
      </w:r>
    </w:p>
    <w:p>
      <w:pPr>
        <w:pStyle w:val="ListBullet"/>
        <w:ind w:left="283"/>
      </w:pPr>
      <w:r>
        <w:rPr>
          <w:sz w:val="21"/>
        </w:rPr>
        <w:t>3. Live Data Integration: Connect to NSE/BSE WebSocket feeds for real-time intraday NAV updates and live portfolio re-valuation.</w:t>
      </w:r>
    </w:p>
    <w:p>
      <w:pPr>
        <w:pStyle w:val="ListBullet"/>
        <w:ind w:left="283"/>
      </w:pPr>
      <w:r>
        <w:rPr>
          <w:sz w:val="21"/>
        </w:rPr>
        <w:t>4. Portfolio Overlap Widget: Integrate a 'Portfolio Overlap Checker' that alerts investors when two selected schemes have &gt; 75% sector overlap.</w:t>
      </w:r>
    </w:p>
    <w:p>
      <w:pPr>
        <w:pStyle w:val="ListBullet"/>
        <w:ind w:left="283"/>
      </w:pPr>
      <w:r>
        <w:rPr>
          <w:sz w:val="21"/>
        </w:rPr>
        <w:t>5. Mobile-First Dashboard: Develop a React Native or Flutter app for mobile access with push notifications for drawdown alerts.</w:t>
      </w:r>
    </w:p>
    <w:p>
      <w:pPr>
        <w:pStyle w:val="ListBullet"/>
        <w:ind w:left="283"/>
      </w:pPr>
      <w:r>
        <w:rPr>
          <w:sz w:val="21"/>
        </w:rPr>
        <w:t>6. ESG Scoring: Incorporate Environmental, Social, and Governance (ESG) ratings alongside financial metrics for responsible investing recommendations.</w:t>
      </w:r>
    </w:p>
    <w:p>
      <w:pPr>
        <w:pStyle w:val="ListBullet"/>
        <w:ind w:left="283"/>
      </w:pPr>
      <w:r>
        <w:rPr>
          <w:sz w:val="21"/>
        </w:rPr>
        <w:t>7. Multi-Asset Expansion: Extend the platform to cover bonds, ETFs, real estate investment trusts (REITs), and international funds.</w:t>
      </w:r>
    </w:p>
    <w:p>
      <w:pPr>
        <w:pStyle w:val="ListBullet"/>
        <w:ind w:left="283"/>
      </w:pPr>
      <w:r>
        <w:rPr>
          <w:sz w:val="21"/>
        </w:rPr>
        <w:t>8. Automated PDF Scheduling: Implement a cron-based system to auto-generate and email monthly performance PDFs to registered users.</w:t>
      </w:r>
    </w:p>
    <w:p>
      <w:r>
        <w:br w:type="page"/>
      </w:r>
    </w:p>
    <w:p>
      <w:pPr>
        <w:pStyle w:val="Heading1"/>
      </w:pPr>
      <w:r>
        <w:rPr>
          <w:color w:val="0D1B2A"/>
        </w:rPr>
        <w:t>14. Conclusion</w:t>
      </w:r>
    </w:p>
    <w:p>
      <w:r>
        <w:rPr>
          <w:b w:val="0"/>
          <w:sz w:val="22"/>
        </w:rPr>
        <w:t>The Bluestock Mutual Fund Analytics Platform successfully demonstrates an end-to-end data engineering and financial analytics pipeline. Starting from raw CSV datasets, the project builds a validated relational database, applies institutional-grade financial metrics, surfaces insights through an interactive dashboard, and provides personalised investment recommendations through a rule-based engine.</w:t>
      </w:r>
    </w:p>
    <w:p/>
    <w:p>
      <w:r>
        <w:rPr>
          <w:b w:val="0"/>
          <w:sz w:val="22"/>
        </w:rPr>
        <w:t>The platform is designed to democratise professional mutual fund analytics for retail investors, providing the same quality of risk-adjusted performance evaluation previously available only to institutional players. The modular architecture ensures easy extension to additional asset classes, real-time data sources, and machine learning forecasting models.</w:t>
      </w:r>
    </w:p>
    <w:p/>
    <w:p>
      <w:r>
        <w:rPr>
          <w:b w:val="0"/>
          <w:sz w:val="22"/>
        </w:rPr>
        <w:t>All seven deliverables (D1–D7) have been completed, documented, and validated. The project represents a production-ready blueprint for a fintech analytics product serving India's rapidly growing mutual fund ecosystem.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