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20"/>
        <w:jc w:val="center"/>
      </w:pPr>
      <w:r>
        <w:rPr>
          <w:rFonts w:ascii="Calibri" w:hAnsi="Calibri"/>
          <w:b/>
          <w:color w:val="666666"/>
          <w:sz w:val="20"/>
        </w:rPr>
        <w:t>REUSABLE MARKET SPECIFICATION</w:t>
      </w:r>
    </w:p>
    <w:p>
      <w:pPr>
        <w:spacing w:after="200"/>
        <w:jc w:val="center"/>
      </w:pPr>
      <w:r>
        <w:rPr>
          <w:rFonts w:ascii="Calibri" w:hAnsi="Calibri"/>
          <w:b/>
          <w:color w:val="000000"/>
          <w:sz w:val="56"/>
        </w:rPr>
        <w:t>LLC Portfolio Identification</w:t>
        <w:br/>
        <w:t>and Mailing Research</w:t>
      </w:r>
    </w:p>
    <w:p>
      <w:pPr>
        <w:spacing w:after="600"/>
        <w:jc w:val="center"/>
      </w:pPr>
      <w:r>
        <w:rPr>
          <w:rFonts w:ascii="Calibri" w:hAnsi="Calibri"/>
          <w:color w:val="333333"/>
          <w:sz w:val="28"/>
        </w:rPr>
        <w:t>Process requirements, decision rules, data model, and operating diagrams</w:t>
      </w:r>
    </w:p>
    <w:p>
      <w:pPr>
        <w:pBdr>
          <w:bottom w:val="single" w:sz="12" w:space="6" w:color="000000"/>
        </w:pBdr>
      </w:pPr>
    </w:p>
    <w:p>
      <w:pPr>
        <w:spacing w:before="480"/>
        <w:jc w:val="center"/>
      </w:pPr>
      <w:r>
        <w:rPr>
          <w:rFonts w:ascii="Calibri" w:hAnsi="Calibri"/>
          <w:b/>
          <w:color w:val="000000"/>
          <w:sz w:val="24"/>
        </w:rPr>
        <w:t>MASTER SPECIFICATION — APPLIES TO EVERY MSA</w:t>
      </w:r>
    </w:p>
    <w:p>
      <w:pPr>
        <w:jc w:val="center"/>
      </w:pPr>
      <w:r>
        <w:rPr>
          <w:rFonts w:ascii="Calibri" w:hAnsi="Calibri"/>
          <w:color w:val="666666"/>
          <w:sz w:val="20"/>
        </w:rPr>
        <w:t>Version 1.0  |  28 August 2026</w:t>
      </w:r>
    </w:p>
    <w:p>
      <w:pPr>
        <w:spacing w:before="1600"/>
        <w:jc w:val="center"/>
      </w:pPr>
      <w:r>
        <w:rPr>
          <w:rFonts w:ascii="Calibri" w:hAnsi="Calibri"/>
          <w:b/>
          <w:color w:val="666666"/>
          <w:sz w:val="20"/>
        </w:rPr>
        <w:t>Core rule</w:t>
      </w:r>
    </w:p>
    <w:p>
      <w:pPr>
        <w:jc w:val="center"/>
      </w:pPr>
      <w:r>
        <w:rPr>
          <w:rFonts w:ascii="Calibri" w:hAnsi="Calibri"/>
          <w:b/>
          <w:color w:val="000000"/>
          <w:sz w:val="28"/>
        </w:rPr>
        <w:t>Group different LLC owners by the same normalized owner tax mailing address — never by the property address.</w:t>
      </w:r>
    </w:p>
    <w:p>
      <w:r>
        <w:br w:type="page"/>
      </w:r>
    </w:p>
    <w:p>
      <w:pPr>
        <w:pStyle w:val="Heading1"/>
      </w:pPr>
      <w:r>
        <w:t>1. Purpose and intended use</w:t>
      </w:r>
    </w:p>
    <w:p>
      <w:r>
        <w:t>This master specification defines a repeatable process for discovering probable real-estate portfolios held through multiple differently named limited liability companies and producing a controlled direct-mail list. It applies to every metropolitan statistical area (MSA). Each MSA implementation must map its local parcel, owner-mailing, and entity sources to this common model without changing the core grouping or mailing-release rules.</w:t>
      </w:r>
    </w:p>
    <w:p>
      <w:pPr>
        <w:pStyle w:val="Heading2"/>
      </w:pPr>
      <w:r>
        <w:t>The business question</w:t>
      </w:r>
    </w:p>
    <w:p>
      <w:r>
        <w:t>Which owner tax mailing addresses receive records for two or more distinct LLC owners that collectively hold two or more distinct parcels, and what public entity evidence supports the conclusion that those LLCs may share a common controller or operating portfolio?</w:t>
      </w:r>
    </w:p>
    <w:p>
      <w:pPr>
        <w:pStyle w:val="Heading2"/>
      </w:pPr>
      <w:r>
        <w:t>Required interpretation</w:t>
      </w:r>
    </w:p>
    <w:p>
      <w:pPr>
        <w:numPr>
          <w:ilvl w:val="0"/>
          <w:numId w:val="10"/>
        </w:numPr>
        <w:spacing w:before="0" w:after="80" w:line="300" w:lineRule="auto"/>
      </w:pPr>
      <w:r>
        <w:rPr>
          <w:rFonts w:ascii="Calibri" w:hAnsi="Calibri"/>
          <w:color w:val="000000"/>
          <w:sz w:val="22"/>
        </w:rPr>
        <w:t>The result is a probable common-controller or common-portfolio signal, not proof of beneficial ownership.</w:t>
      </w:r>
    </w:p>
    <w:p>
      <w:pPr>
        <w:numPr>
          <w:ilvl w:val="0"/>
          <w:numId w:val="10"/>
        </w:numPr>
        <w:spacing w:before="0" w:after="80" w:line="300" w:lineRule="auto"/>
      </w:pPr>
      <w:r>
        <w:rPr>
          <w:rFonts w:ascii="Calibri" w:hAnsi="Calibri"/>
          <w:color w:val="000000"/>
          <w:sz w:val="22"/>
        </w:rPr>
        <w:t>A manager, registered agent, organizer, attorney, tax processor, or property manager is not automatically the beneficial owner.</w:t>
      </w:r>
    </w:p>
    <w:p>
      <w:pPr>
        <w:numPr>
          <w:ilvl w:val="0"/>
          <w:numId w:val="10"/>
        </w:numPr>
        <w:spacing w:before="0" w:after="80" w:line="300" w:lineRule="auto"/>
      </w:pPr>
      <w:r>
        <w:rPr>
          <w:rFonts w:ascii="Calibri" w:hAnsi="Calibri"/>
          <w:color w:val="000000"/>
          <w:sz w:val="22"/>
        </w:rPr>
        <w:t>Every mailed candidate must remain traceable to the public source records and the transformations that created the cluster.</w:t>
      </w:r>
    </w:p>
    <w:p>
      <w:pPr>
        <w:pStyle w:val="Heading2"/>
      </w:pPr>
      <w:r>
        <w:t>Out of scope</w:t>
      </w:r>
    </w:p>
    <w:p>
      <w:pPr>
        <w:numPr>
          <w:ilvl w:val="0"/>
          <w:numId w:val="10"/>
        </w:numPr>
        <w:spacing w:before="0" w:after="80" w:line="300" w:lineRule="auto"/>
      </w:pPr>
      <w:r>
        <w:rPr>
          <w:rFonts w:ascii="Calibri" w:hAnsi="Calibri"/>
          <w:color w:val="000000"/>
          <w:sz w:val="22"/>
        </w:rPr>
        <w:t>Filtering to multifamily, 2+ unit, commercial, or any other property class before the LLC-owner test.</w:t>
      </w:r>
    </w:p>
    <w:p>
      <w:pPr>
        <w:numPr>
          <w:ilvl w:val="0"/>
          <w:numId w:val="10"/>
        </w:numPr>
        <w:spacing w:before="0" w:after="80" w:line="300" w:lineRule="auto"/>
      </w:pPr>
      <w:r>
        <w:rPr>
          <w:rFonts w:ascii="Calibri" w:hAnsi="Calibri"/>
          <w:color w:val="000000"/>
          <w:sz w:val="22"/>
        </w:rPr>
        <w:t>Grouping LLCs by the property or situs address.</w:t>
      </w:r>
    </w:p>
    <w:p>
      <w:pPr>
        <w:numPr>
          <w:ilvl w:val="0"/>
          <w:numId w:val="10"/>
        </w:numPr>
        <w:spacing w:before="0" w:after="80" w:line="300" w:lineRule="auto"/>
      </w:pPr>
      <w:r>
        <w:rPr>
          <w:rFonts w:ascii="Calibri" w:hAnsi="Calibri"/>
          <w:color w:val="000000"/>
          <w:sz w:val="22"/>
        </w:rPr>
        <w:t>Treating a shared registered-agent address as conclusive proof of shared ownership.</w:t>
      </w:r>
    </w:p>
    <w:p>
      <w:pPr>
        <w:numPr>
          <w:ilvl w:val="0"/>
          <w:numId w:val="10"/>
        </w:numPr>
        <w:spacing w:before="0" w:after="80" w:line="300" w:lineRule="auto"/>
      </w:pPr>
      <w:r>
        <w:rPr>
          <w:rFonts w:ascii="Calibri" w:hAnsi="Calibri"/>
          <w:color w:val="000000"/>
          <w:sz w:val="22"/>
        </w:rPr>
        <w:t>Naming a person as recipient without credible cross-entity support.</w:t>
      </w:r>
    </w:p>
    <w:p>
      <w:r>
        <w:br w:type="page"/>
      </w:r>
    </w:p>
    <w:p>
      <w:pPr>
        <w:pStyle w:val="Heading1"/>
      </w:pPr>
      <w:r>
        <w:t>2. Executive requirements</w:t>
      </w:r>
    </w:p>
    <w:tbl>
      <w:tblPr>
        <w:tblStyle w:val="TableGrid"/>
        <w:tblW w:type="dxa" w:w="9360"/>
        <w:jc w:val="center"/>
        <w:tblLayout w:type="fixed"/>
        <w:tblLook w:firstColumn="1" w:firstRow="1" w:lastColumn="0" w:lastRow="0" w:noHBand="0" w:noVBand="1" w:val="04A0"/>
        <w:tblInd w:w="120" w:type="dxa"/>
      </w:tblPr>
      <w:tblGrid>
        <w:gridCol w:w="900"/>
        <w:gridCol w:w="1500"/>
        <w:gridCol w:w="6960"/>
      </w:tblGrid>
      <w:tr>
        <w:trPr>
          <w:tblHeader w:val="true"/>
          <w:cantSplit/>
        </w:trPr>
        <w:tc>
          <w:tcPr>
            <w:tcW w:type="dxa" w:w="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ID</w:t>
            </w:r>
          </w:p>
        </w:tc>
        <w:tc>
          <w:tcPr>
            <w:tcW w:type="dxa" w:w="1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Requirement</w:t>
            </w:r>
          </w:p>
        </w:tc>
        <w:tc>
          <w:tcPr>
            <w:tcW w:type="dxa" w:w="69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Mandatory rule</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R-01</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Universe</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Begin with every parcel in the selected geography.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R-02</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LLC test</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Keep records whose normalized legal owner name ends with LLC.</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R-03</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Key</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Use normalized owner tax mailing address as the candidate-cluster key.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R-04</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Threshold</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Require 2+ distinct normalized LLC names and 2+ distinct parcels.</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R-05</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Evidence</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Retain property address as inventory evidence only.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R-06</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Review</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Flag intermediaries in research; suppress lawyers, agents, CPAs, and service addresses from the automated mailing list.</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R-07</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Enrichment</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Use Secretary of State records after clustering to corroborate entities.</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R-08</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Outputs</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Produce cluster decisions, parcel evidence, a mailing-ready list, and a complete exclusion audit.</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R-09</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Mail unit</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Create exactly one outbound row per normalized owner mailing address.</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R-10</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Postal gate</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Require USPS CASS/DPV and applicable suppression checks before print release.</w:t>
            </w:r>
          </w:p>
        </w:tc>
      </w:tr>
    </w:tbl>
    <w:p>
      <w:pPr>
        <w:spacing w:after="0"/>
      </w:pPr>
    </w:p>
    <w:p>
      <w:r>
        <w:br w:type="page"/>
      </w:r>
    </w:p>
    <w:p>
      <w:pPr>
        <w:pStyle w:val="Heading1"/>
      </w:pPr>
      <w:r>
        <w:t>3. End-to-end workflow</w:t>
      </w:r>
    </w:p>
    <w:p>
      <w:r>
        <w:t>The process separates discovery, qualification, corroboration, and mailing preparation. This prevents entity-enrichment data from biasing the initial portfolio signal.</w:t>
      </w:r>
    </w:p>
    <w:p>
      <w:pPr>
        <w:spacing w:before="80" w:after="100"/>
        <w:jc w:val="center"/>
      </w:pPr>
      <w:r>
        <w:drawing>
          <wp:inline xmlns:a="http://schemas.openxmlformats.org/drawingml/2006/main" xmlns:pic="http://schemas.openxmlformats.org/drawingml/2006/picture">
            <wp:extent cx="5943600" cy="3467100"/>
            <wp:docPr id="1" name="Picture 1" descr="End-to-end portfolio discovery workflow"/>
            <wp:cNvGraphicFramePr>
              <a:graphicFrameLocks noChangeAspect="1"/>
            </wp:cNvGraphicFramePr>
            <a:graphic>
              <a:graphicData uri="http://schemas.openxmlformats.org/drawingml/2006/picture">
                <pic:pic>
                  <pic:nvPicPr>
                    <pic:cNvPr id="0" name="01_workflow.png"/>
                    <pic:cNvPicPr/>
                  </pic:nvPicPr>
                  <pic:blipFill>
                    <a:blip r:embed="rId13"/>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1. End-to-end portfolio discovery workflow</w:t>
      </w:r>
    </w:p>
    <w:p>
      <w:pPr>
        <w:spacing w:after="120"/>
        <w:jc w:val="center"/>
      </w:pPr>
      <w:r>
        <w:rPr>
          <w:rFonts w:ascii="Calibri" w:hAnsi="Calibri"/>
          <w:b w:val="0"/>
          <w:i/>
          <w:color w:val="666666"/>
          <w:sz w:val="17"/>
        </w:rPr>
        <w:t>The owner mailing address is normalized before grouping; Secretary of State evidence enters only after the threshold test.</w:t>
      </w:r>
    </w:p>
    <w:p>
      <w:r>
        <w:br w:type="page"/>
      </w:r>
    </w:p>
    <w:p>
      <w:pPr>
        <w:pStyle w:val="Heading1"/>
      </w:pPr>
      <w:r>
        <w:t>4. Source data requirements</w:t>
      </w:r>
    </w:p>
    <w:p>
      <w:pPr>
        <w:pStyle w:val="Heading2"/>
      </w:pPr>
      <w:r>
        <w:t>Minimum parcel-record fields</w:t>
      </w:r>
    </w:p>
    <w:tbl>
      <w:tblPr>
        <w:tblStyle w:val="TableGrid"/>
        <w:tblW w:type="dxa" w:w="9360"/>
        <w:jc w:val="center"/>
        <w:tblLayout w:type="fixed"/>
        <w:tblLook w:firstColumn="1" w:firstRow="1" w:lastColumn="0" w:lastRow="0" w:noHBand="0" w:noVBand="1" w:val="04A0"/>
        <w:tblInd w:w="120" w:type="dxa"/>
      </w:tblPr>
      <w:tblGrid>
        <w:gridCol w:w="1900"/>
        <w:gridCol w:w="2300"/>
        <w:gridCol w:w="3860"/>
        <w:gridCol w:w="130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2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Meaning</w:t>
            </w:r>
          </w:p>
        </w:tc>
        <w:tc>
          <w:tcPr>
            <w:tcW w:type="dxa" w:w="38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Use</w:t>
            </w:r>
          </w:p>
        </w:tc>
        <w:tc>
          <w:tcPr>
            <w:tcW w:type="dxa" w:w="1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Status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Parcel identifier</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Stable parcel/PIN key</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Deduplication, evidence, joins</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Legal owner name</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Tax-roll or assessment owner</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LLC suffix filter; entity identity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Owner mailing name</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Addressee on tax record</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Recipient candidate; QA</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Preferred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Owner mailing address</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Street, unit, city, state, ZIP</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Primary clustering key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Property/situs address</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Location of owned parcel</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Inventory and evidence only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Source date/version</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Assessment roll vintage</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Reproducibility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bl>
    <w:p>
      <w:pPr>
        <w:spacing w:after="0"/>
      </w:pPr>
    </w:p>
    <w:p>
      <w:pPr>
        <w:pStyle w:val="Heading2"/>
      </w:pPr>
      <w:r>
        <w:t>Canonical market-adapter mapping</w:t>
      </w:r>
    </w:p>
    <w:tbl>
      <w:tblPr>
        <w:tblStyle w:val="TableGrid"/>
        <w:tblW w:type="dxa" w:w="9360"/>
        <w:jc w:val="center"/>
        <w:tblLayout w:type="fixed"/>
        <w:tblLook w:firstColumn="1" w:firstRow="1" w:lastColumn="0" w:lastRow="0" w:noHBand="0" w:noVBand="1" w:val="04A0"/>
        <w:tblInd w:w="120" w:type="dxa"/>
      </w:tblPr>
      <w:tblGrid>
        <w:gridCol w:w="2800"/>
        <w:gridCol w:w="2900"/>
        <w:gridCol w:w="3660"/>
      </w:tblGrid>
      <w:tr>
        <w:trPr>
          <w:tblHeader w:val="true"/>
          <w:cantSplit/>
        </w:trPr>
        <w:tc>
          <w:tcPr>
            <w:tcW w:type="dxa" w:w="28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Canonical field</w:t>
            </w:r>
          </w:p>
        </w:tc>
        <w:tc>
          <w:tcPr>
            <w:tcW w:type="dxa" w:w="2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Local mapping</w:t>
            </w:r>
          </w:p>
        </w:tc>
        <w:tc>
          <w:tcPr>
            <w:tcW w:type="dxa" w:w="36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Processing rule</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source_owner_name</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Local legal-owner field</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Map; normalize; test terminal LLC suffix</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source_owner_mailing_name</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Local tax-mail addressee field</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Recipient evidence and QA</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source_owner_mailing_address</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Local owner tax-mail address fields</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Normalize; primary cluster key</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source_property_address</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Local situs/property field</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Output and evidence only</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source_parcel_id</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Local PIN/APN/BBL/parcel field</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Distinct property count and audit key</w:t>
            </w:r>
          </w:p>
        </w:tc>
      </w:tr>
      <w:tr>
        <w:trPr>
          <w:cantSplit/>
        </w:trPr>
        <w:tc>
          <w:tcPr>
            <w:tcW w:type="dxa" w:w="2800"/>
            <w:vAlign w:val="top"/>
            <w:tcMar>
              <w:top w:w="80" w:type="dxa"/>
              <w:start w:w="120" w:type="dxa"/>
              <w:bottom w:w="80" w:type="dxa"/>
              <w:end w:w="120" w:type="dxa"/>
            </w:tcMar>
          </w:tcPr>
          <w:p>
            <w:pPr>
              <w:spacing w:after="60" w:line="252" w:lineRule="auto"/>
            </w:pPr>
            <w:r/>
            <w:r>
              <w:rPr>
                <w:rFonts w:ascii="Calibri" w:hAnsi="Calibri"/>
                <w:color w:val="000000"/>
                <w:sz w:val="18"/>
              </w:rPr>
              <w:t>source_vintage</w:t>
            </w:r>
          </w:p>
        </w:tc>
        <w:tc>
          <w:tcPr>
            <w:tcW w:type="dxa" w:w="2900"/>
            <w:vAlign w:val="top"/>
            <w:tcMar>
              <w:top w:w="80" w:type="dxa"/>
              <w:start w:w="120" w:type="dxa"/>
              <w:bottom w:w="80" w:type="dxa"/>
              <w:end w:w="120" w:type="dxa"/>
            </w:tcMar>
          </w:tcPr>
          <w:p>
            <w:pPr>
              <w:spacing w:after="60" w:line="252" w:lineRule="auto"/>
            </w:pPr>
            <w:r/>
            <w:r>
              <w:rPr>
                <w:rFonts w:ascii="Calibri" w:hAnsi="Calibri"/>
                <w:color w:val="000000"/>
                <w:sz w:val="18"/>
              </w:rPr>
              <w:t>Roll year, version, and retrieval date</w:t>
            </w:r>
          </w:p>
        </w:tc>
        <w:tc>
          <w:tcPr>
            <w:tcW w:type="dxa" w:w="3660"/>
            <w:vAlign w:val="top"/>
            <w:tcMar>
              <w:top w:w="80" w:type="dxa"/>
              <w:start w:w="120" w:type="dxa"/>
              <w:bottom w:w="80" w:type="dxa"/>
              <w:end w:w="120" w:type="dxa"/>
            </w:tcMar>
          </w:tcPr>
          <w:p>
            <w:pPr>
              <w:spacing w:after="60" w:line="252" w:lineRule="auto"/>
            </w:pPr>
            <w:r/>
            <w:r>
              <w:rPr>
                <w:rFonts w:ascii="Calibri" w:hAnsi="Calibri"/>
                <w:color w:val="000000"/>
                <w:sz w:val="18"/>
              </w:rPr>
              <w:t>Reproducibility and change control</w:t>
            </w:r>
          </w:p>
        </w:tc>
      </w:tr>
    </w:tbl>
    <w:p>
      <w:pPr>
        <w:spacing w:after="0"/>
      </w:pPr>
    </w:p>
    <w:p>
      <w:r>
        <w:br w:type="page"/>
      </w:r>
    </w:p>
    <w:p>
      <w:pPr>
        <w:pStyle w:val="Heading1"/>
      </w:pPr>
      <w:r>
        <w:t>5. LLC owner selection</w:t>
      </w:r>
    </w:p>
    <w:p>
      <w:r>
        <w:t>The LLC test applies to the normalized legal owner name. It is intentionally broad and does not depend on property type, unit count, assessed use, or building class.</w:t>
      </w:r>
    </w:p>
    <w:p>
      <w:pPr>
        <w:pStyle w:val="Heading2"/>
      </w:pPr>
      <w:r>
        <w:t>Required owner-name normalization</w:t>
      </w:r>
    </w:p>
    <w:p>
      <w:pPr>
        <w:numPr>
          <w:ilvl w:val="0"/>
          <w:numId w:val="10"/>
        </w:numPr>
        <w:spacing w:before="0" w:after="80" w:line="300" w:lineRule="auto"/>
      </w:pPr>
      <w:r>
        <w:rPr>
          <w:rFonts w:ascii="Calibri" w:hAnsi="Calibri"/>
          <w:color w:val="000000"/>
          <w:sz w:val="22"/>
        </w:rPr>
        <w:t>Convert to uppercase and trim leading/trailing whitespace.</w:t>
      </w:r>
    </w:p>
    <w:p>
      <w:pPr>
        <w:numPr>
          <w:ilvl w:val="0"/>
          <w:numId w:val="10"/>
        </w:numPr>
        <w:spacing w:before="0" w:after="80" w:line="300" w:lineRule="auto"/>
      </w:pPr>
      <w:r>
        <w:rPr>
          <w:rFonts w:ascii="Calibri" w:hAnsi="Calibri"/>
          <w:color w:val="000000"/>
          <w:sz w:val="22"/>
        </w:rPr>
        <w:t>Collapse repeated internal whitespace.</w:t>
      </w:r>
    </w:p>
    <w:p>
      <w:pPr>
        <w:numPr>
          <w:ilvl w:val="0"/>
          <w:numId w:val="10"/>
        </w:numPr>
        <w:spacing w:before="0" w:after="80" w:line="300" w:lineRule="auto"/>
      </w:pPr>
      <w:r>
        <w:rPr>
          <w:rFonts w:ascii="Calibri" w:hAnsi="Calibri"/>
          <w:color w:val="000000"/>
          <w:sz w:val="22"/>
        </w:rPr>
        <w:t>Standardize terminal variants such as L.L.C., L L C, and punctuation-separated forms to LLC.</w:t>
      </w:r>
    </w:p>
    <w:p>
      <w:pPr>
        <w:numPr>
          <w:ilvl w:val="0"/>
          <w:numId w:val="10"/>
        </w:numPr>
        <w:spacing w:before="0" w:after="80" w:line="300" w:lineRule="auto"/>
      </w:pPr>
      <w:r>
        <w:rPr>
          <w:rFonts w:ascii="Calibri" w:hAnsi="Calibri"/>
          <w:color w:val="000000"/>
          <w:sz w:val="22"/>
        </w:rPr>
        <w:t>Preserve the original source owner name alongside the normalized value.</w:t>
      </w:r>
    </w:p>
    <w:p>
      <w:pPr>
        <w:numPr>
          <w:ilvl w:val="0"/>
          <w:numId w:val="10"/>
        </w:numPr>
        <w:spacing w:before="0" w:after="80" w:line="300" w:lineRule="auto"/>
      </w:pPr>
      <w:r>
        <w:rPr>
          <w:rFonts w:ascii="Calibri" w:hAnsi="Calibri"/>
          <w:color w:val="000000"/>
          <w:sz w:val="22"/>
        </w:rPr>
        <w:t>Pass only when the normalized owner name ends with the standalone suffix LLC.</w:t>
      </w:r>
    </w:p>
    <w:p>
      <w:pPr>
        <w:pStyle w:val="Heading2"/>
      </w:pPr>
      <w:r>
        <w:t>Examples</w:t>
      </w:r>
    </w:p>
    <w:tbl>
      <w:tblPr>
        <w:tblStyle w:val="TableGrid"/>
        <w:tblW w:type="dxa" w:w="9360"/>
        <w:jc w:val="center"/>
        <w:tblLayout w:type="fixed"/>
        <w:tblLook w:firstColumn="1" w:firstRow="1" w:lastColumn="0" w:lastRow="0" w:noHBand="0" w:noVBand="1" w:val="04A0"/>
        <w:tblInd w:w="120" w:type="dxa"/>
      </w:tblPr>
      <w:tblGrid>
        <w:gridCol w:w="3500"/>
        <w:gridCol w:w="3860"/>
        <w:gridCol w:w="2000"/>
      </w:tblGrid>
      <w:tr>
        <w:trPr>
          <w:tblHeader w:val="true"/>
          <w:cantSplit/>
        </w:trPr>
        <w:tc>
          <w:tcPr>
            <w:tcW w:type="dxa" w:w="3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Source owner name</w:t>
            </w:r>
          </w:p>
        </w:tc>
        <w:tc>
          <w:tcPr>
            <w:tcW w:type="dxa" w:w="38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Normalized owner name</w:t>
            </w:r>
          </w:p>
        </w:tc>
        <w:tc>
          <w:tcPr>
            <w:tcW w:type="dxa" w:w="2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Keep?</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Lake View Owner, L.L.C.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LAKE VIEW OWNER LLC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Yes</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West Loop Holdings LLC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WEST LOOP HOLDINGS LLC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Yes</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LLC Management Services Inc.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LLC MANAGEMENT SERVICES INC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No — does not end in LLC</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John and Mary Smith</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JOHN AND MARY SMITH</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No</w:t>
            </w:r>
          </w:p>
        </w:tc>
      </w:tr>
    </w:tbl>
    <w:p>
      <w:pPr>
        <w:spacing w:after="0"/>
      </w:pPr>
    </w:p>
    <w:p>
      <w:r>
        <w:br w:type="page"/>
      </w:r>
    </w:p>
    <w:p>
      <w:pPr>
        <w:pStyle w:val="Heading1"/>
      </w:pPr>
      <w:r>
        <w:t>6. Correct clustering logic</w:t>
      </w:r>
    </w:p>
    <w:p>
      <w:pPr>
        <w:spacing w:before="80" w:after="100"/>
        <w:jc w:val="center"/>
      </w:pPr>
      <w:r>
        <w:drawing>
          <wp:inline xmlns:a="http://schemas.openxmlformats.org/drawingml/2006/main" xmlns:pic="http://schemas.openxmlformats.org/drawingml/2006/picture">
            <wp:extent cx="5943600" cy="3467100"/>
            <wp:docPr id="2" name="Picture 2" descr="Correct grouping key versus the wrong key"/>
            <wp:cNvGraphicFramePr>
              <a:graphicFrameLocks noChangeAspect="1"/>
            </wp:cNvGraphicFramePr>
            <a:graphic>
              <a:graphicData uri="http://schemas.openxmlformats.org/drawingml/2006/picture">
                <pic:pic>
                  <pic:nvPicPr>
                    <pic:cNvPr id="0" name="02_grouping_key.png"/>
                    <pic:cNvPicPr/>
                  </pic:nvPicPr>
                  <pic:blipFill>
                    <a:blip r:embed="rId14"/>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2. Correct grouping key versus the wrong key</w:t>
      </w:r>
    </w:p>
    <w:p>
      <w:pPr>
        <w:spacing w:after="120"/>
        <w:jc w:val="center"/>
      </w:pPr>
      <w:r>
        <w:rPr>
          <w:rFonts w:ascii="Calibri" w:hAnsi="Calibri"/>
          <w:b w:val="0"/>
          <w:i/>
          <w:color w:val="666666"/>
          <w:sz w:val="17"/>
        </w:rPr>
        <w:t>Different property addresses are expected. Their shared owner mailing address is the candidate portfolio signal.</w:t>
      </w:r>
    </w:p>
    <w:p>
      <w:pPr>
        <w:pStyle w:val="Heading2"/>
      </w:pPr>
      <w:r>
        <w:t>Non-negotiable rule</w:t>
      </w:r>
    </w:p>
    <w:p>
      <w:r>
        <w:t>The physical property address must never be used as the initial grouping key. It identifies the asset, not the place where the owner receives tax mail.</w:t>
      </w:r>
    </w:p>
    <w:p>
      <w:r>
        <w:br w:type="page"/>
      </w:r>
    </w:p>
    <w:p>
      <w:pPr>
        <w:pStyle w:val="Heading1"/>
      </w:pPr>
      <w:r>
        <w:t>7. Mailing-address normalization</w:t>
      </w:r>
    </w:p>
    <w:p>
      <w:r>
        <w:t>Normalization must improve match consistency without erasing meaningful unit, suite, or postal information. Store both the source value and each normalized component.</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Component</w:t>
            </w:r>
          </w:p>
        </w:tc>
        <w:tc>
          <w:tcPr>
            <w:tcW w:type="dxa" w:w="74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Rule</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Case and whitespace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Uppercase; trim; collapse repeated spaces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Punctuation</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Remove non-semantic punctuation; preserve unit meaning</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Street suffixes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common equivalents, e.g., STREET→ST, AVENUE→AVE</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Directionals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NORTH→N, SOUTH→S, EAST→E, WEST→W when unambiguous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Units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SUITE/STE and APARTMENT/APT; do not drop the unit</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City/state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Normalize spelling and two-letter state abbreviation</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ZIP</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Use five-digit ZIP as the default; preserve ZIP+4 separately</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PO boxes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PO BOX; retain as a valid mailing address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Missing/invalid</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Do not cluster; route to QA/exclusion log</w:t>
            </w:r>
          </w:p>
        </w:tc>
      </w:tr>
    </w:tbl>
    <w:p>
      <w:pPr>
        <w:spacing w:after="0"/>
      </w:pPr>
    </w:p>
    <w:p>
      <w:pPr>
        <w:pStyle w:val="Heading2"/>
      </w:pPr>
      <w:r>
        <w:t>Recommended cluster key</w:t>
      </w:r>
    </w:p>
    <w:p>
      <w:r>
        <w:t>normalized_street_line_1 + normalized_street_line_2 + normalized_city + normalized_state + normalized_zip5</w:t>
      </w:r>
    </w:p>
    <w:p>
      <w:r>
        <w:t>Exact normalized matching is the production baseline. Fuzzy or probabilistic address matching, if later introduced, must be a separate review layer with an explainable score and no silent merges.</w:t>
      </w:r>
    </w:p>
    <w:p>
      <w:pPr>
        <w:pStyle w:val="Heading1"/>
      </w:pPr>
      <w:r>
        <w:t>8. Data relationship model</w:t>
      </w:r>
    </w:p>
    <w:p>
      <w:pPr>
        <w:spacing w:before="80" w:after="100"/>
        <w:jc w:val="center"/>
      </w:pPr>
      <w:r>
        <w:drawing>
          <wp:inline xmlns:a="http://schemas.openxmlformats.org/drawingml/2006/main" xmlns:pic="http://schemas.openxmlformats.org/drawingml/2006/picture">
            <wp:extent cx="5943600" cy="3467100"/>
            <wp:docPr id="3" name="Picture 3" descr="Data relationship model"/>
            <wp:cNvGraphicFramePr>
              <a:graphicFrameLocks noChangeAspect="1"/>
            </wp:cNvGraphicFramePr>
            <a:graphic>
              <a:graphicData uri="http://schemas.openxmlformats.org/drawingml/2006/picture">
                <pic:pic>
                  <pic:nvPicPr>
                    <pic:cNvPr id="0" name="03_relationships.png"/>
                    <pic:cNvPicPr/>
                  </pic:nvPicPr>
                  <pic:blipFill>
                    <a:blip r:embed="rId15"/>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3. Data relationship model</w:t>
      </w:r>
    </w:p>
    <w:p>
      <w:pPr>
        <w:spacing w:after="120"/>
        <w:jc w:val="center"/>
      </w:pPr>
      <w:r>
        <w:rPr>
          <w:rFonts w:ascii="Calibri" w:hAnsi="Calibri"/>
          <w:b w:val="0"/>
          <w:i/>
          <w:color w:val="666666"/>
          <w:sz w:val="17"/>
        </w:rPr>
        <w:t>The address hub creates a candidate cluster; parcel records prove holdings; entity records corroborate after discovery.</w:t>
      </w:r>
    </w:p>
    <w:p>
      <w:r>
        <w:br w:type="page"/>
      </w:r>
    </w:p>
    <w:p>
      <w:pPr>
        <w:pStyle w:val="Heading1"/>
      </w:pPr>
      <w:r>
        <w:t>9. Cluster construction and qualification</w:t>
      </w:r>
    </w:p>
    <w:p>
      <w:pPr>
        <w:pStyle w:val="Heading2"/>
      </w:pPr>
      <w:r>
        <w:t>Algorithm</w:t>
      </w:r>
    </w:p>
    <w:p>
      <w:pPr>
        <w:numPr>
          <w:ilvl w:val="0"/>
          <w:numId w:val="11"/>
        </w:numPr>
        <w:spacing w:after="120" w:line="300" w:lineRule="auto"/>
      </w:pPr>
      <w:r>
        <w:rPr>
          <w:rFonts w:ascii="Calibri" w:hAnsi="Calibri"/>
          <w:color w:val="000000"/>
          <w:sz w:val="22"/>
        </w:rPr>
        <w:t>Load the complete parcel universe for the target geography and source vintage.</w:t>
      </w:r>
    </w:p>
    <w:p>
      <w:pPr>
        <w:numPr>
          <w:ilvl w:val="0"/>
          <w:numId w:val="11"/>
        </w:numPr>
        <w:spacing w:after="120" w:line="300" w:lineRule="auto"/>
      </w:pPr>
      <w:r>
        <w:rPr>
          <w:rFonts w:ascii="Calibri" w:hAnsi="Calibri"/>
          <w:color w:val="000000"/>
          <w:sz w:val="22"/>
        </w:rPr>
        <w:t>Normalize the legal owner name and retain rows where it ends with LLC.</w:t>
      </w:r>
    </w:p>
    <w:p>
      <w:pPr>
        <w:numPr>
          <w:ilvl w:val="0"/>
          <w:numId w:val="11"/>
        </w:numPr>
        <w:spacing w:after="120" w:line="300" w:lineRule="auto"/>
      </w:pPr>
      <w:r>
        <w:rPr>
          <w:rFonts w:ascii="Calibri" w:hAnsi="Calibri"/>
          <w:color w:val="000000"/>
          <w:sz w:val="22"/>
        </w:rPr>
        <w:t>Normalize the owner tax mailing address and quarantine missing or invalid values.</w:t>
      </w:r>
    </w:p>
    <w:p>
      <w:pPr>
        <w:numPr>
          <w:ilvl w:val="0"/>
          <w:numId w:val="11"/>
        </w:numPr>
        <w:spacing w:after="120" w:line="300" w:lineRule="auto"/>
      </w:pPr>
      <w:r>
        <w:rPr>
          <w:rFonts w:ascii="Calibri" w:hAnsi="Calibri"/>
          <w:color w:val="000000"/>
          <w:sz w:val="22"/>
        </w:rPr>
        <w:t>Group records by the exact normalized owner mailing address.</w:t>
      </w:r>
    </w:p>
    <w:p>
      <w:pPr>
        <w:numPr>
          <w:ilvl w:val="0"/>
          <w:numId w:val="11"/>
        </w:numPr>
        <w:spacing w:after="120" w:line="300" w:lineRule="auto"/>
      </w:pPr>
      <w:r>
        <w:rPr>
          <w:rFonts w:ascii="Calibri" w:hAnsi="Calibri"/>
          <w:color w:val="000000"/>
          <w:sz w:val="22"/>
        </w:rPr>
        <w:t>Within each address group, count distinct normalized LLC names and distinct parcel identifiers.</w:t>
      </w:r>
    </w:p>
    <w:p>
      <w:pPr>
        <w:numPr>
          <w:ilvl w:val="0"/>
          <w:numId w:val="11"/>
        </w:numPr>
        <w:spacing w:after="120" w:line="300" w:lineRule="auto"/>
      </w:pPr>
      <w:r>
        <w:rPr>
          <w:rFonts w:ascii="Calibri" w:hAnsi="Calibri"/>
          <w:color w:val="000000"/>
          <w:sz w:val="22"/>
        </w:rPr>
        <w:t>Qualify groups with at least two distinct LLC names and at least two distinct parcels.</w:t>
      </w:r>
    </w:p>
    <w:p>
      <w:pPr>
        <w:numPr>
          <w:ilvl w:val="0"/>
          <w:numId w:val="11"/>
        </w:numPr>
        <w:spacing w:after="120" w:line="300" w:lineRule="auto"/>
      </w:pPr>
      <w:r>
        <w:rPr>
          <w:rFonts w:ascii="Calibri" w:hAnsi="Calibri"/>
          <w:color w:val="000000"/>
          <w:sz w:val="22"/>
        </w:rPr>
        <w:t>Apply intermediary and mass-service-address flags while retaining the research cluster and its evidence.</w:t>
      </w:r>
    </w:p>
    <w:p>
      <w:pPr>
        <w:numPr>
          <w:ilvl w:val="0"/>
          <w:numId w:val="11"/>
        </w:numPr>
        <w:spacing w:after="120" w:line="300" w:lineRule="auto"/>
      </w:pPr>
      <w:r>
        <w:rPr>
          <w:rFonts w:ascii="Calibri" w:hAnsi="Calibri"/>
          <w:color w:val="000000"/>
          <w:sz w:val="22"/>
        </w:rPr>
        <w:t>Enrich each distinct LLC with Secretary of State evidence and assign confidence.</w:t>
      </w:r>
    </w:p>
    <w:p>
      <w:pPr>
        <w:numPr>
          <w:ilvl w:val="0"/>
          <w:numId w:val="11"/>
        </w:numPr>
        <w:spacing w:after="120" w:line="300" w:lineRule="auto"/>
      </w:pPr>
      <w:r>
        <w:rPr>
          <w:rFonts w:ascii="Calibri" w:hAnsi="Calibri"/>
          <w:color w:val="000000"/>
          <w:sz w:val="22"/>
        </w:rPr>
        <w:t>Create the cluster summary, property evidence, deduplicated mailing-ready list, and complete exclusion audit.</w:t>
      </w:r>
    </w:p>
    <w:p>
      <w:pPr>
        <w:pStyle w:val="Heading2"/>
      </w:pPr>
      <w:r>
        <w:t>Formal acceptance expression</w:t>
      </w:r>
    </w:p>
    <w:p>
      <w:pPr>
        <w:spacing w:before="160" w:after="160"/>
        <w:jc w:val="center"/>
      </w:pPr>
      <w:r>
        <w:rPr>
          <w:rFonts w:ascii="Calibri" w:hAnsi="Calibri"/>
          <w:b/>
          <w:color w:val="000000"/>
          <w:sz w:val="24"/>
        </w:rPr>
        <w:t>normalized_owner_mailing_address  →  2+ distinct normalized LLC names  →  2+ distinct parcels</w:t>
      </w:r>
    </w:p>
    <w:p>
      <w:pPr>
        <w:pStyle w:val="Heading2"/>
        <w:pageBreakBefore/>
      </w:pPr>
      <w:r>
        <w:t>Distinctness and deduplication</w:t>
      </w:r>
    </w:p>
    <w:p>
      <w:pPr>
        <w:numPr>
          <w:ilvl w:val="0"/>
          <w:numId w:val="10"/>
        </w:numPr>
        <w:spacing w:before="0" w:after="80" w:line="300" w:lineRule="auto"/>
      </w:pPr>
      <w:r>
        <w:rPr>
          <w:rFonts w:ascii="Calibri" w:hAnsi="Calibri"/>
          <w:color w:val="000000"/>
          <w:sz w:val="22"/>
        </w:rPr>
        <w:t>A parcel is distinct by stable parcel/PIN identifier, not by formatted property address.</w:t>
      </w:r>
    </w:p>
    <w:p>
      <w:pPr>
        <w:numPr>
          <w:ilvl w:val="0"/>
          <w:numId w:val="10"/>
        </w:numPr>
        <w:spacing w:before="0" w:after="80" w:line="300" w:lineRule="auto"/>
      </w:pPr>
      <w:r>
        <w:rPr>
          <w:rFonts w:ascii="Calibri" w:hAnsi="Calibri"/>
          <w:color w:val="000000"/>
          <w:sz w:val="22"/>
        </w:rPr>
        <w:t>An LLC is distinct by normalized legal name within the parcel source; entity identifiers may later refine this.</w:t>
      </w:r>
    </w:p>
    <w:p>
      <w:pPr>
        <w:numPr>
          <w:ilvl w:val="0"/>
          <w:numId w:val="10"/>
        </w:numPr>
        <w:spacing w:before="0" w:after="80" w:line="300" w:lineRule="auto"/>
      </w:pPr>
      <w:r>
        <w:rPr>
          <w:rFonts w:ascii="Calibri" w:hAnsi="Calibri"/>
          <w:color w:val="000000"/>
          <w:sz w:val="22"/>
        </w:rPr>
        <w:t>Duplicate source rows must not inflate parcel or LLC counts.</w:t>
      </w:r>
    </w:p>
    <w:p>
      <w:pPr>
        <w:numPr>
          <w:ilvl w:val="0"/>
          <w:numId w:val="10"/>
        </w:numPr>
        <w:spacing w:before="0" w:after="80" w:line="300" w:lineRule="auto"/>
      </w:pPr>
      <w:r>
        <w:rPr>
          <w:rFonts w:ascii="Calibri" w:hAnsi="Calibri"/>
          <w:color w:val="000000"/>
          <w:sz w:val="22"/>
        </w:rPr>
        <w:t>One LLC owning several parcels does not satisfy the multi-LLC requirement by itself.</w:t>
      </w:r>
    </w:p>
    <w:p>
      <w:pPr>
        <w:numPr>
          <w:ilvl w:val="0"/>
          <w:numId w:val="10"/>
        </w:numPr>
        <w:spacing w:before="0" w:after="80" w:line="300" w:lineRule="auto"/>
      </w:pPr>
      <w:r>
        <w:rPr>
          <w:rFonts w:ascii="Calibri" w:hAnsi="Calibri"/>
          <w:color w:val="000000"/>
          <w:sz w:val="22"/>
        </w:rPr>
        <w:t>For outbound mail, all surviving clusters sharing the same normalized mailing address consolidate into one campaign row.</w:t>
      </w:r>
    </w:p>
    <w:p>
      <w:pPr>
        <w:pStyle w:val="Heading1"/>
      </w:pPr>
      <w:r>
        <w:t>10. Qualification and routing</w:t>
      </w:r>
    </w:p>
    <w:p>
      <w:pPr>
        <w:spacing w:before="80" w:after="100"/>
        <w:jc w:val="center"/>
      </w:pPr>
      <w:r>
        <w:drawing>
          <wp:inline xmlns:a="http://schemas.openxmlformats.org/drawingml/2006/main" xmlns:pic="http://schemas.openxmlformats.org/drawingml/2006/picture">
            <wp:extent cx="5943600" cy="3467100"/>
            <wp:docPr id="4" name="Picture 4" descr="Cluster qualification and routing decision tree"/>
            <wp:cNvGraphicFramePr>
              <a:graphicFrameLocks noChangeAspect="1"/>
            </wp:cNvGraphicFramePr>
            <a:graphic>
              <a:graphicData uri="http://schemas.openxmlformats.org/drawingml/2006/picture">
                <pic:pic>
                  <pic:nvPicPr>
                    <pic:cNvPr id="0" name="04_decision_tree.png"/>
                    <pic:cNvPicPr/>
                  </pic:nvPicPr>
                  <pic:blipFill>
                    <a:blip r:embed="rId16"/>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4. Cluster qualification and routing decision tree</w:t>
      </w:r>
    </w:p>
    <w:p>
      <w:pPr>
        <w:spacing w:after="120"/>
        <w:jc w:val="center"/>
      </w:pPr>
      <w:r>
        <w:rPr>
          <w:rFonts w:ascii="Calibri" w:hAnsi="Calibri"/>
          <w:b w:val="0"/>
          <w:i/>
          <w:color w:val="666666"/>
          <w:sz w:val="17"/>
        </w:rPr>
        <w:t>A service-address flag changes the review route; it does not erase the candidate.</w:t>
      </w:r>
    </w:p>
    <w:p>
      <w:r>
        <w:br w:type="page"/>
      </w:r>
    </w:p>
    <w:p>
      <w:pPr>
        <w:pStyle w:val="Heading1"/>
      </w:pPr>
      <w:r>
        <w:t>11. Intermediary and false-positive controls</w:t>
      </w:r>
    </w:p>
    <w:p>
      <w:r>
        <w:t>Shared addresses may represent a common controller, but they may also belong to professional intermediaries. These cases must be visible, explainable, and reviewable.</w:t>
      </w:r>
    </w:p>
    <w:tbl>
      <w:tblPr>
        <w:tblStyle w:val="TableGrid"/>
        <w:tblW w:type="dxa" w:w="9360"/>
        <w:jc w:val="center"/>
        <w:tblLayout w:type="fixed"/>
        <w:tblLook w:firstColumn="1" w:firstRow="1" w:lastColumn="0" w:lastRow="0" w:noHBand="0" w:noVBand="1" w:val="04A0"/>
        <w:tblInd w:w="120" w:type="dxa"/>
      </w:tblPr>
      <w:tblGrid>
        <w:gridCol w:w="1700"/>
        <w:gridCol w:w="3850"/>
        <w:gridCol w:w="3810"/>
      </w:tblGrid>
      <w:tr>
        <w:trPr>
          <w:tblHeader w:val="true"/>
          <w:cantSplit/>
        </w:trPr>
        <w:tc>
          <w:tcPr>
            <w:tcW w:type="dxa" w:w="17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Pattern</w:t>
            </w:r>
          </w:p>
        </w:tc>
        <w:tc>
          <w:tcPr>
            <w:tcW w:type="dxa" w:w="385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Observable signal</w:t>
            </w:r>
          </w:p>
        </w:tc>
        <w:tc>
          <w:tcPr>
            <w:tcW w:type="dxa" w:w="381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treatment</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Registered agent</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Address reused across unrelated entities; agent name present</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compare managers/principals and address scale</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Law firm</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Firm name, attorney suite, many unrelated clients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for manual review</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Tax processor/accountant</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Tax-service addressee or very high entity volume</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seek corroborating manager evidence</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Property manager</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Management company receives bills for many owners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compare owner/entity records</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Mass service/virtual office</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Address links unusually many LLCs across broad industries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lower confidence absent corroboration</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Property address reused as mail</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Mailing address equals one situs address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do not assume owner residence or control</w:t>
            </w:r>
          </w:p>
        </w:tc>
      </w:tr>
    </w:tbl>
    <w:p>
      <w:pPr>
        <w:spacing w:after="0"/>
      </w:pPr>
    </w:p>
    <w:p>
      <w:pPr>
        <w:pStyle w:val="Heading2"/>
      </w:pPr>
      <w:r>
        <w:t>Scale-based review</w:t>
      </w:r>
    </w:p>
    <w:p>
      <w:r>
        <w:t>The project should calculate the number of distinct LLCs, parcels, owner names, and industry/entity patterns per mailing address. High-volume addresses are not automatically invalid, but require stronger corroboration and often manual review.</w:t>
      </w:r>
    </w:p>
    <w:p>
      <w:r>
        <w:br w:type="page"/>
      </w:r>
    </w:p>
    <w:p>
      <w:pPr>
        <w:pStyle w:val="Heading1"/>
      </w:pPr>
      <w:r>
        <w:t>12. Secretary of State corroboration</w:t>
      </w:r>
    </w:p>
    <w:p>
      <w:r>
        <w:t>The relevant state entity authority is used after parcel clustering. It should validate entity identity and reveal repeated managers, principals, registered agents, or entity addresses across the LLCs in a candidate cluster. The local market adapter must document the authority, fields, access method, and record vintage.</w:t>
      </w:r>
    </w:p>
    <w:p>
      <w:pPr>
        <w:pStyle w:val="Heading2"/>
      </w:pPr>
      <w:r>
        <w:t>Recommended entity fields</w:t>
      </w:r>
    </w:p>
    <w:p>
      <w:pPr>
        <w:numPr>
          <w:ilvl w:val="0"/>
          <w:numId w:val="10"/>
        </w:numPr>
        <w:spacing w:before="0" w:after="80" w:line="300" w:lineRule="auto"/>
      </w:pPr>
      <w:r>
        <w:rPr>
          <w:rFonts w:ascii="Calibri" w:hAnsi="Calibri"/>
          <w:color w:val="000000"/>
          <w:sz w:val="22"/>
        </w:rPr>
        <w:t>Entity file number, exact legal name, status, formation date, jurisdiction, and entity address.</w:t>
      </w:r>
    </w:p>
    <w:p>
      <w:pPr>
        <w:numPr>
          <w:ilvl w:val="0"/>
          <w:numId w:val="10"/>
        </w:numPr>
        <w:spacing w:before="0" w:after="80" w:line="300" w:lineRule="auto"/>
      </w:pPr>
      <w:r>
        <w:rPr>
          <w:rFonts w:ascii="Calibri" w:hAnsi="Calibri"/>
          <w:color w:val="000000"/>
          <w:sz w:val="22"/>
        </w:rPr>
        <w:t>Registered-agent name and address.</w:t>
      </w:r>
    </w:p>
    <w:p>
      <w:pPr>
        <w:numPr>
          <w:ilvl w:val="0"/>
          <w:numId w:val="10"/>
        </w:numPr>
        <w:spacing w:before="0" w:after="80" w:line="300" w:lineRule="auto"/>
      </w:pPr>
      <w:r>
        <w:rPr>
          <w:rFonts w:ascii="Calibri" w:hAnsi="Calibri"/>
          <w:color w:val="000000"/>
          <w:sz w:val="22"/>
        </w:rPr>
        <w:t>Manager/member or principal names and addresses where publicly available.</w:t>
      </w:r>
    </w:p>
    <w:p>
      <w:pPr>
        <w:numPr>
          <w:ilvl w:val="0"/>
          <w:numId w:val="10"/>
        </w:numPr>
        <w:spacing w:before="0" w:after="80" w:line="300" w:lineRule="auto"/>
      </w:pPr>
      <w:r>
        <w:rPr>
          <w:rFonts w:ascii="Calibri" w:hAnsi="Calibri"/>
          <w:color w:val="000000"/>
          <w:sz w:val="22"/>
        </w:rPr>
        <w:t>Annual-report or series-LLC relationships where applicable.</w:t>
      </w:r>
    </w:p>
    <w:p>
      <w:pPr>
        <w:pStyle w:val="Heading2"/>
      </w:pPr>
      <w:r>
        <w:t>Match hierarchy</w:t>
      </w:r>
    </w:p>
    <w:p>
      <w:pPr>
        <w:numPr>
          <w:ilvl w:val="0"/>
          <w:numId w:val="12"/>
        </w:numPr>
        <w:spacing w:after="120" w:line="300" w:lineRule="auto"/>
      </w:pPr>
      <w:r>
        <w:rPr>
          <w:rFonts w:ascii="Calibri" w:hAnsi="Calibri"/>
          <w:color w:val="000000"/>
          <w:sz w:val="22"/>
        </w:rPr>
        <w:t>Exact normalized legal name plus jurisdiction/status.</w:t>
      </w:r>
    </w:p>
    <w:p>
      <w:pPr>
        <w:numPr>
          <w:ilvl w:val="0"/>
          <w:numId w:val="12"/>
        </w:numPr>
        <w:spacing w:after="120" w:line="300" w:lineRule="auto"/>
      </w:pPr>
      <w:r>
        <w:rPr>
          <w:rFonts w:ascii="Calibri" w:hAnsi="Calibri"/>
          <w:color w:val="000000"/>
          <w:sz w:val="22"/>
        </w:rPr>
        <w:t>Exact legal name plus corroborating address or file number.</w:t>
      </w:r>
    </w:p>
    <w:p>
      <w:pPr>
        <w:numPr>
          <w:ilvl w:val="0"/>
          <w:numId w:val="12"/>
        </w:numPr>
        <w:spacing w:after="120" w:line="300" w:lineRule="auto"/>
      </w:pPr>
      <w:r>
        <w:rPr>
          <w:rFonts w:ascii="Calibri" w:hAnsi="Calibri"/>
          <w:color w:val="000000"/>
          <w:sz w:val="22"/>
        </w:rPr>
        <w:t>Fuzzy name candidates only as manual-review leads; never as silent matches.</w:t>
      </w:r>
    </w:p>
    <w:p>
      <w:pPr>
        <w:pStyle w:val="Heading2"/>
      </w:pPr>
      <w:r>
        <w:t>Interpretation guardrails</w:t>
      </w:r>
    </w:p>
    <w:p>
      <w:pPr>
        <w:numPr>
          <w:ilvl w:val="0"/>
          <w:numId w:val="10"/>
        </w:numPr>
        <w:spacing w:before="0" w:after="80" w:line="300" w:lineRule="auto"/>
      </w:pPr>
      <w:r>
        <w:rPr>
          <w:rFonts w:ascii="Calibri" w:hAnsi="Calibri"/>
          <w:color w:val="000000"/>
          <w:sz w:val="22"/>
        </w:rPr>
        <w:t>Manager does not necessarily mean beneficial owner.</w:t>
      </w:r>
    </w:p>
    <w:p>
      <w:pPr>
        <w:numPr>
          <w:ilvl w:val="0"/>
          <w:numId w:val="10"/>
        </w:numPr>
        <w:spacing w:before="0" w:after="80" w:line="300" w:lineRule="auto"/>
      </w:pPr>
      <w:r>
        <w:rPr>
          <w:rFonts w:ascii="Calibri" w:hAnsi="Calibri"/>
          <w:color w:val="000000"/>
          <w:sz w:val="22"/>
        </w:rPr>
        <w:t>Registered-agent matches alone are weak control evidence.</w:t>
      </w:r>
    </w:p>
    <w:p>
      <w:pPr>
        <w:numPr>
          <w:ilvl w:val="0"/>
          <w:numId w:val="10"/>
        </w:numPr>
        <w:spacing w:before="0" w:after="80" w:line="300" w:lineRule="auto"/>
      </w:pPr>
      <w:r>
        <w:rPr>
          <w:rFonts w:ascii="Calibri" w:hAnsi="Calibri"/>
          <w:color w:val="000000"/>
          <w:sz w:val="22"/>
        </w:rPr>
        <w:t>Repeated credible manager/principal names or addresses across multiple LLCs materially strengthen the portfolio hypothesis.</w:t>
      </w:r>
    </w:p>
    <w:p>
      <w:pPr>
        <w:pStyle w:val="Heading1"/>
      </w:pPr>
      <w:r>
        <w:t>13. Confidence framework</w:t>
      </w:r>
    </w:p>
    <w:tbl>
      <w:tblPr>
        <w:tblStyle w:val="TableGrid"/>
        <w:tblW w:type="dxa" w:w="9360"/>
        <w:jc w:val="center"/>
        <w:tblLayout w:type="fixed"/>
        <w:tblLook w:firstColumn="1" w:firstRow="1" w:lastColumn="0" w:lastRow="0" w:noHBand="0" w:noVBand="1" w:val="04A0"/>
        <w:tblInd w:w="120" w:type="dxa"/>
      </w:tblPr>
      <w:tblGrid>
        <w:gridCol w:w="1500"/>
        <w:gridCol w:w="5100"/>
        <w:gridCol w:w="2760"/>
      </w:tblGrid>
      <w:tr>
        <w:trPr>
          <w:tblHeader w:val="true"/>
          <w:cantSplit/>
        </w:trPr>
        <w:tc>
          <w:tcPr>
            <w:tcW w:type="dxa" w:w="1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Level</w:t>
            </w:r>
          </w:p>
        </w:tc>
        <w:tc>
          <w:tcPr>
            <w:tcW w:type="dxa" w:w="51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Evidence pattern</w:t>
            </w:r>
          </w:p>
        </w:tc>
        <w:tc>
          <w:tcPr>
            <w:tcW w:type="dxa" w:w="27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Routing</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High</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Shared owner mailing address; repeated credible manager/principal or entity-address support across LLCs; no strong intermediary flag</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Eligible for the mailing-ready list after final QA</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Medium</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Shared owner mailing address; active entity matches; limited direct manager proof; no strong contradiction</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Eligible with conservative recipient naming</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Low / review</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Agent, law firm, CPA/tax processor, property manager, mass-mailing address, situs reuse, ambiguous entity match, or conflicting evidence</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Exclude from automated mailing; retain in audit for manual review</w:t>
            </w:r>
          </w:p>
        </w:tc>
      </w:tr>
    </w:tbl>
    <w:p>
      <w:pPr>
        <w:spacing w:after="0"/>
      </w:pPr>
    </w:p>
    <w:p>
      <w:pPr>
        <w:pStyle w:val="Heading2"/>
      </w:pPr>
      <w:r>
        <w:t>Recipient naming</w:t>
      </w:r>
    </w:p>
    <w:p>
      <w:pPr>
        <w:numPr>
          <w:ilvl w:val="0"/>
          <w:numId w:val="10"/>
        </w:numPr>
        <w:spacing w:before="0" w:after="80" w:line="300" w:lineRule="auto"/>
      </w:pPr>
      <w:r>
        <w:rPr>
          <w:rFonts w:ascii="Calibri" w:hAnsi="Calibri"/>
          <w:color w:val="000000"/>
          <w:sz w:val="22"/>
        </w:rPr>
        <w:t>Use a person’s name only when the same credible person is supported across multiple LLCs in the cluster.</w:t>
      </w:r>
    </w:p>
    <w:p>
      <w:pPr>
        <w:numPr>
          <w:ilvl w:val="0"/>
          <w:numId w:val="10"/>
        </w:numPr>
        <w:spacing w:before="0" w:after="80" w:line="300" w:lineRule="auto"/>
      </w:pPr>
      <w:r>
        <w:rPr>
          <w:rFonts w:ascii="Calibri" w:hAnsi="Calibri"/>
          <w:color w:val="000000"/>
          <w:sz w:val="22"/>
        </w:rPr>
        <w:t>Otherwise use the tax-roll mailing name when suitable.</w:t>
      </w:r>
    </w:p>
    <w:p>
      <w:pPr>
        <w:numPr>
          <w:ilvl w:val="0"/>
          <w:numId w:val="10"/>
        </w:numPr>
        <w:spacing w:before="0" w:after="80" w:line="300" w:lineRule="auto"/>
      </w:pPr>
      <w:r>
        <w:rPr>
          <w:rFonts w:ascii="Calibri" w:hAnsi="Calibri"/>
          <w:color w:val="000000"/>
          <w:sz w:val="22"/>
        </w:rPr>
        <w:t>If no defensible recipient name exists, use “Property Owner” rather than inventing a person.</w:t>
      </w:r>
    </w:p>
    <w:p>
      <w:pPr>
        <w:numPr>
          <w:ilvl w:val="0"/>
          <w:numId w:val="10"/>
        </w:numPr>
        <w:spacing w:before="0" w:after="80" w:line="300" w:lineRule="auto"/>
      </w:pPr>
      <w:r>
        <w:rPr>
          <w:rFonts w:ascii="Calibri" w:hAnsi="Calibri"/>
          <w:color w:val="000000"/>
          <w:sz w:val="22"/>
        </w:rPr>
        <w:t>Retain the LLC names and property list in the evidence file even when the outbound card uses a generalized addressee.</w:t>
      </w:r>
    </w:p>
    <w:p>
      <w:pPr>
        <w:pStyle w:val="Heading1"/>
      </w:pPr>
      <w:r>
        <w:t>14. Required output package</w:t>
      </w:r>
    </w:p>
    <w:p>
      <w:pPr>
        <w:spacing w:before="80" w:after="100"/>
        <w:jc w:val="center"/>
      </w:pPr>
      <w:r>
        <w:drawing>
          <wp:inline xmlns:a="http://schemas.openxmlformats.org/drawingml/2006/main" xmlns:pic="http://schemas.openxmlformats.org/drawingml/2006/picture">
            <wp:extent cx="5943600" cy="3467100"/>
            <wp:docPr id="5" name="Picture 5" descr="Required output package"/>
            <wp:cNvGraphicFramePr>
              <a:graphicFrameLocks noChangeAspect="1"/>
            </wp:cNvGraphicFramePr>
            <a:graphic>
              <a:graphicData uri="http://schemas.openxmlformats.org/drawingml/2006/picture">
                <pic:pic>
                  <pic:nvPicPr>
                    <pic:cNvPr id="0" name="05_outputs.png"/>
                    <pic:cNvPicPr/>
                  </pic:nvPicPr>
                  <pic:blipFill>
                    <a:blip r:embed="rId17"/>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5. Required output package</w:t>
      </w:r>
    </w:p>
    <w:p>
      <w:pPr>
        <w:spacing w:after="120"/>
        <w:jc w:val="center"/>
      </w:pPr>
      <w:r>
        <w:rPr>
          <w:rFonts w:ascii="Calibri" w:hAnsi="Calibri"/>
          <w:b w:val="0"/>
          <w:i/>
          <w:color w:val="666666"/>
          <w:sz w:val="17"/>
        </w:rPr>
        <w:t>The mailing-ready list is a downstream view, not a substitute for cluster and parcel evidence.</w:t>
      </w:r>
    </w:p>
    <w:p>
      <w:r>
        <w:br w:type="page"/>
      </w:r>
    </w:p>
    <w:p>
      <w:pPr>
        <w:pStyle w:val="Heading1"/>
      </w:pPr>
      <w:r>
        <w:t>15. Output schemas</w:t>
      </w:r>
    </w:p>
    <w:p>
      <w:pPr>
        <w:pStyle w:val="Heading2"/>
      </w:pPr>
      <w:r>
        <w:t>A. Cluster summary — one row per normalized owner mailing address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cluster_id</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Stable project-generated identifier</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Exact grouping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source_owner_mailing_addresses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Observed source variants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distinct_llc_count</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Count of normalized LLC names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distinct_parcel_count</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Count of parcel/PIN values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llc_names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All source and normalized LLC names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property_geography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Cities/neighborhoods/ZIPs represented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intermediary_flags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All triggered review flags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confidence_level</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High, medium, or low/review</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decision_reason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Human-readable rationale</w:t>
            </w:r>
          </w:p>
        </w:tc>
      </w:tr>
    </w:tbl>
    <w:p>
      <w:pPr>
        <w:spacing w:after="0"/>
      </w:pPr>
    </w:p>
    <w:p>
      <w:pPr>
        <w:pStyle w:val="Heading2"/>
      </w:pPr>
      <w:r>
        <w:t>B. Property evidence — one row per parcel-owner record</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cluster_id</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Foreign key to cluster summary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parcel_id / PIN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Stable parcel identifier</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Owner text as published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normalized_llc_name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Normalized distinct-LLC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property_address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Situs/inventory address; never clustering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owner_mailing_name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Tax-roll addressee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Published mailing address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Cluster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source_version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Dataset vintage and retrieval date</w:t>
            </w:r>
          </w:p>
        </w:tc>
      </w:tr>
    </w:tbl>
    <w:p>
      <w:pPr>
        <w:spacing w:after="0"/>
      </w:pPr>
    </w:p>
    <w:p>
      <w:pPr>
        <w:pStyle w:val="Heading2"/>
      </w:pPr>
      <w:r>
        <w:t>C. Entity enrichment and mailing-ready list</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Artifact</w:t>
            </w:r>
          </w:p>
        </w:tc>
        <w:tc>
          <w:tcPr>
            <w:tcW w:type="dxa" w:w="70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Minimum fields</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Entity enrichment</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cluster_id, LLC name, entity/file ID, status, entity address, agent, managers/principals, match method, source date</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Mailing-ready list</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mailing_id, recipient, full mailing address, parsed postal components, source cluster IDs, distinct LLC/property counts, confidence, exclusion-screen result, postal-validation status</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QA/exclusion log</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record/cluster ID, target mailing address, rule(s) triggered, evidence detail, source values, reviewer, disposition, timestamp</w:t>
            </w:r>
          </w:p>
        </w:tc>
      </w:tr>
    </w:tbl>
    <w:p>
      <w:pPr>
        <w:spacing w:after="0"/>
      </w:pPr>
    </w:p>
    <w:p>
      <w:pPr>
        <w:pStyle w:val="Heading1"/>
      </w:pPr>
      <w:r>
        <w:t>16. Quality assurance and acceptance tests</w:t>
      </w:r>
    </w:p>
    <w:p>
      <w:pPr>
        <w:pStyle w:val="Heading2"/>
      </w:pPr>
      <w:r>
        <w:t>Record-level tests</w:t>
      </w:r>
    </w:p>
    <w:p>
      <w:pPr>
        <w:numPr>
          <w:ilvl w:val="0"/>
          <w:numId w:val="10"/>
        </w:numPr>
        <w:spacing w:before="0" w:after="80" w:line="300" w:lineRule="auto"/>
      </w:pPr>
      <w:r>
        <w:rPr>
          <w:rFonts w:ascii="Calibri" w:hAnsi="Calibri"/>
          <w:color w:val="000000"/>
          <w:sz w:val="22"/>
        </w:rPr>
        <w:t>Every included owner name passes the normalized terminal LLC test.</w:t>
      </w:r>
    </w:p>
    <w:p>
      <w:pPr>
        <w:numPr>
          <w:ilvl w:val="0"/>
          <w:numId w:val="10"/>
        </w:numPr>
        <w:spacing w:before="0" w:after="80" w:line="300" w:lineRule="auto"/>
      </w:pPr>
      <w:r>
        <w:rPr>
          <w:rFonts w:ascii="Calibri" w:hAnsi="Calibri"/>
          <w:color w:val="000000"/>
          <w:sz w:val="22"/>
        </w:rPr>
        <w:t>Every included parcel has a stable parcel/PIN key.</w:t>
      </w:r>
    </w:p>
    <w:p>
      <w:pPr>
        <w:numPr>
          <w:ilvl w:val="0"/>
          <w:numId w:val="10"/>
        </w:numPr>
        <w:spacing w:before="0" w:after="80" w:line="300" w:lineRule="auto"/>
      </w:pPr>
      <w:r>
        <w:rPr>
          <w:rFonts w:ascii="Calibri" w:hAnsi="Calibri"/>
          <w:color w:val="000000"/>
          <w:sz w:val="22"/>
        </w:rPr>
        <w:t>Every clustered record has a nonblank normalized owner mailing address.</w:t>
      </w:r>
    </w:p>
    <w:p>
      <w:pPr>
        <w:numPr>
          <w:ilvl w:val="0"/>
          <w:numId w:val="10"/>
        </w:numPr>
        <w:spacing w:before="0" w:after="80" w:line="300" w:lineRule="auto"/>
      </w:pPr>
      <w:r>
        <w:rPr>
          <w:rFonts w:ascii="Calibri" w:hAnsi="Calibri"/>
          <w:color w:val="000000"/>
          <w:sz w:val="22"/>
        </w:rPr>
        <w:t>Every property address is stored separately from the owner mailing address.</w:t>
      </w:r>
    </w:p>
    <w:p>
      <w:pPr>
        <w:pStyle w:val="Heading2"/>
      </w:pPr>
      <w:r>
        <w:t>Cluster-level tests</w:t>
      </w:r>
    </w:p>
    <w:p>
      <w:pPr>
        <w:numPr>
          <w:ilvl w:val="0"/>
          <w:numId w:val="10"/>
        </w:numPr>
        <w:spacing w:before="0" w:after="80" w:line="300" w:lineRule="auto"/>
      </w:pPr>
      <w:r>
        <w:rPr>
          <w:rFonts w:ascii="Calibri" w:hAnsi="Calibri"/>
          <w:color w:val="000000"/>
          <w:sz w:val="22"/>
        </w:rPr>
        <w:t>Every qualified cluster contains 2+ distinct normalized LLC names.</w:t>
      </w:r>
    </w:p>
    <w:p>
      <w:pPr>
        <w:numPr>
          <w:ilvl w:val="0"/>
          <w:numId w:val="10"/>
        </w:numPr>
        <w:spacing w:before="0" w:after="80" w:line="300" w:lineRule="auto"/>
      </w:pPr>
      <w:r>
        <w:rPr>
          <w:rFonts w:ascii="Calibri" w:hAnsi="Calibri"/>
          <w:color w:val="000000"/>
          <w:sz w:val="22"/>
        </w:rPr>
        <w:t>Every qualified cluster contains 2+ distinct parcel identifiers.</w:t>
      </w:r>
    </w:p>
    <w:p>
      <w:pPr>
        <w:numPr>
          <w:ilvl w:val="0"/>
          <w:numId w:val="10"/>
        </w:numPr>
        <w:spacing w:before="0" w:after="80" w:line="300" w:lineRule="auto"/>
      </w:pPr>
      <w:r>
        <w:rPr>
          <w:rFonts w:ascii="Calibri" w:hAnsi="Calibri"/>
          <w:color w:val="000000"/>
          <w:sz w:val="22"/>
        </w:rPr>
        <w:t>No duplicate source row inflates either count.</w:t>
      </w:r>
    </w:p>
    <w:p>
      <w:pPr>
        <w:numPr>
          <w:ilvl w:val="0"/>
          <w:numId w:val="10"/>
        </w:numPr>
        <w:spacing w:before="0" w:after="80" w:line="300" w:lineRule="auto"/>
      </w:pPr>
      <w:r>
        <w:rPr>
          <w:rFonts w:ascii="Calibri" w:hAnsi="Calibri"/>
          <w:color w:val="000000"/>
          <w:sz w:val="22"/>
        </w:rPr>
        <w:t>All intermediary flags are retained with the research cluster.</w:t>
      </w:r>
    </w:p>
    <w:p>
      <w:pPr>
        <w:numPr>
          <w:ilvl w:val="0"/>
          <w:numId w:val="10"/>
        </w:numPr>
        <w:spacing w:before="0" w:after="80" w:line="300" w:lineRule="auto"/>
      </w:pPr>
      <w:r>
        <w:rPr>
          <w:rFonts w:ascii="Calibri" w:hAnsi="Calibri"/>
          <w:color w:val="000000"/>
          <w:sz w:val="22"/>
        </w:rPr>
        <w:t>Every mailing-ready address appears exactly once.</w:t>
      </w:r>
    </w:p>
    <w:p>
      <w:pPr>
        <w:numPr>
          <w:ilvl w:val="0"/>
          <w:numId w:val="10"/>
        </w:numPr>
        <w:spacing w:before="0" w:after="80" w:line="300" w:lineRule="auto"/>
      </w:pPr>
      <w:r>
        <w:rPr>
          <w:rFonts w:ascii="Calibri" w:hAnsi="Calibri"/>
          <w:color w:val="000000"/>
          <w:sz w:val="22"/>
        </w:rPr>
        <w:t>No mailing-ready destination is identified as a lawyer, agent, CPA/accountant, filing service, care-of address, or property/situs substitution.</w:t>
      </w:r>
    </w:p>
    <w:p>
      <w:pPr>
        <w:numPr>
          <w:ilvl w:val="0"/>
          <w:numId w:val="10"/>
        </w:numPr>
        <w:spacing w:before="0" w:after="80" w:line="300" w:lineRule="auto"/>
      </w:pPr>
      <w:r>
        <w:rPr>
          <w:rFonts w:ascii="Calibri" w:hAnsi="Calibri"/>
          <w:color w:val="000000"/>
          <w:sz w:val="22"/>
        </w:rPr>
        <w:t>Confidence and recipient decisions have a written rationale.</w:t>
      </w:r>
    </w:p>
    <w:p>
      <w:pPr>
        <w:pStyle w:val="Heading2"/>
      </w:pPr>
      <w:r>
        <w:t>Auditability tests</w:t>
      </w:r>
    </w:p>
    <w:p>
      <w:pPr>
        <w:numPr>
          <w:ilvl w:val="0"/>
          <w:numId w:val="10"/>
        </w:numPr>
        <w:spacing w:before="0" w:after="80" w:line="300" w:lineRule="auto"/>
      </w:pPr>
      <w:r>
        <w:rPr>
          <w:rFonts w:ascii="Calibri" w:hAnsi="Calibri"/>
          <w:color w:val="000000"/>
          <w:sz w:val="22"/>
        </w:rPr>
        <w:t>A reviewer can reproduce the group from the normalized address and property evidence file.</w:t>
      </w:r>
    </w:p>
    <w:p>
      <w:pPr>
        <w:numPr>
          <w:ilvl w:val="0"/>
          <w:numId w:val="10"/>
        </w:numPr>
        <w:spacing w:before="0" w:after="80" w:line="300" w:lineRule="auto"/>
      </w:pPr>
      <w:r>
        <w:rPr>
          <w:rFonts w:ascii="Calibri" w:hAnsi="Calibri"/>
          <w:color w:val="000000"/>
          <w:sz w:val="22"/>
        </w:rPr>
        <w:t>Original source fields are retained beside normalized fields.</w:t>
      </w:r>
    </w:p>
    <w:p>
      <w:pPr>
        <w:numPr>
          <w:ilvl w:val="0"/>
          <w:numId w:val="10"/>
        </w:numPr>
        <w:spacing w:before="0" w:after="80" w:line="300" w:lineRule="auto"/>
      </w:pPr>
      <w:r>
        <w:rPr>
          <w:rFonts w:ascii="Calibri" w:hAnsi="Calibri"/>
          <w:color w:val="000000"/>
          <w:sz w:val="22"/>
        </w:rPr>
        <w:t>Dataset vintage, retrieval date, and processing version are recorded.</w:t>
      </w:r>
    </w:p>
    <w:p>
      <w:pPr>
        <w:numPr>
          <w:ilvl w:val="0"/>
          <w:numId w:val="10"/>
        </w:numPr>
        <w:spacing w:before="0" w:after="80" w:line="300" w:lineRule="auto"/>
      </w:pPr>
      <w:r>
        <w:rPr>
          <w:rFonts w:ascii="Calibri" w:hAnsi="Calibri"/>
          <w:color w:val="000000"/>
          <w:sz w:val="22"/>
        </w:rPr>
        <w:t>Manual overrides identify reviewer, timestamp, prior value, new value, and reason.</w:t>
      </w:r>
    </w:p>
    <w:p>
      <w:pPr>
        <w:pStyle w:val="Heading2"/>
      </w:pPr>
      <w:r>
        <w:t>Acceptance rule</w:t>
      </w:r>
    </w:p>
    <w:p>
      <w:r>
        <w:t>The process is accepted only when 100% of qualified clusters satisfy the two-LLC/two-parcel threshold, 100% of mailed records link to parcel-level evidence, every outbound normalized mailing address is unique, every screened professional-intermediary record is retained in the exclusion audit, and no property/situs address is used as a clustering key.</w:t>
      </w:r>
    </w:p>
    <w:p>
      <w:pPr>
        <w:pStyle w:val="Heading1"/>
      </w:pPr>
      <w:r>
        <w:t>17. Market adaptation checklist</w:t>
      </w:r>
    </w:p>
    <w:p>
      <w:pPr>
        <w:numPr>
          <w:ilvl w:val="0"/>
          <w:numId w:val="13"/>
        </w:numPr>
        <w:spacing w:after="120" w:line="300" w:lineRule="auto"/>
      </w:pPr>
      <w:r>
        <w:rPr>
          <w:rFonts w:ascii="Calibri" w:hAnsi="Calibri"/>
          <w:color w:val="000000"/>
          <w:sz w:val="22"/>
        </w:rPr>
        <w:t>Define the target geography and obtain the complete parcel universe.</w:t>
      </w:r>
    </w:p>
    <w:p>
      <w:pPr>
        <w:numPr>
          <w:ilvl w:val="0"/>
          <w:numId w:val="13"/>
        </w:numPr>
        <w:spacing w:after="120" w:line="300" w:lineRule="auto"/>
      </w:pPr>
      <w:r>
        <w:rPr>
          <w:rFonts w:ascii="Calibri" w:hAnsi="Calibri"/>
          <w:color w:val="000000"/>
          <w:sz w:val="22"/>
        </w:rPr>
        <w:t>Confirm which source fields contain legal owner name, owner mailing name/address, property address, and parcel ID.</w:t>
      </w:r>
    </w:p>
    <w:p>
      <w:pPr>
        <w:numPr>
          <w:ilvl w:val="0"/>
          <w:numId w:val="13"/>
        </w:numPr>
        <w:spacing w:after="120" w:line="300" w:lineRule="auto"/>
      </w:pPr>
      <w:r>
        <w:rPr>
          <w:rFonts w:ascii="Calibri" w:hAnsi="Calibri"/>
          <w:color w:val="000000"/>
          <w:sz w:val="22"/>
        </w:rPr>
        <w:t>Document access method, terms, refresh cadence, and dataset vintage.</w:t>
      </w:r>
    </w:p>
    <w:p>
      <w:pPr>
        <w:numPr>
          <w:ilvl w:val="0"/>
          <w:numId w:val="13"/>
        </w:numPr>
        <w:spacing w:after="120" w:line="300" w:lineRule="auto"/>
      </w:pPr>
      <w:r>
        <w:rPr>
          <w:rFonts w:ascii="Calibri" w:hAnsi="Calibri"/>
          <w:color w:val="000000"/>
          <w:sz w:val="22"/>
        </w:rPr>
        <w:t>Map local LLC suffix variants and address conventions into the normalization rules.</w:t>
      </w:r>
    </w:p>
    <w:p>
      <w:pPr>
        <w:numPr>
          <w:ilvl w:val="0"/>
          <w:numId w:val="13"/>
        </w:numPr>
        <w:spacing w:after="120" w:line="300" w:lineRule="auto"/>
      </w:pPr>
      <w:r>
        <w:rPr>
          <w:rFonts w:ascii="Calibri" w:hAnsi="Calibri"/>
          <w:color w:val="000000"/>
          <w:sz w:val="22"/>
        </w:rPr>
        <w:t>Locate the relevant Secretary of State entity and manager/agent records.</w:t>
      </w:r>
    </w:p>
    <w:p>
      <w:pPr>
        <w:numPr>
          <w:ilvl w:val="0"/>
          <w:numId w:val="13"/>
        </w:numPr>
        <w:spacing w:after="120" w:line="300" w:lineRule="auto"/>
      </w:pPr>
      <w:r>
        <w:rPr>
          <w:rFonts w:ascii="Calibri" w:hAnsi="Calibri"/>
          <w:color w:val="000000"/>
          <w:sz w:val="22"/>
        </w:rPr>
        <w:t>Profile high-volume mailing addresses and build local intermediary indicators.</w:t>
      </w:r>
    </w:p>
    <w:p>
      <w:pPr>
        <w:numPr>
          <w:ilvl w:val="0"/>
          <w:numId w:val="13"/>
        </w:numPr>
        <w:spacing w:after="120" w:line="300" w:lineRule="auto"/>
      </w:pPr>
      <w:r>
        <w:rPr>
          <w:rFonts w:ascii="Calibri" w:hAnsi="Calibri"/>
          <w:color w:val="000000"/>
          <w:sz w:val="22"/>
        </w:rPr>
        <w:t>Run threshold and QA tests before entity enrichment or mailing selection.</w:t>
      </w:r>
    </w:p>
    <w:p>
      <w:pPr>
        <w:numPr>
          <w:ilvl w:val="0"/>
          <w:numId w:val="13"/>
        </w:numPr>
        <w:spacing w:after="120" w:line="300" w:lineRule="auto"/>
      </w:pPr>
      <w:r>
        <w:rPr>
          <w:rFonts w:ascii="Calibri" w:hAnsi="Calibri"/>
          <w:color w:val="000000"/>
          <w:sz w:val="22"/>
        </w:rPr>
        <w:t>Perform a documented sample review across high-, medium-, and review-routed clusters.</w:t>
      </w:r>
    </w:p>
    <w:p>
      <w:pPr>
        <w:numPr>
          <w:ilvl w:val="0"/>
          <w:numId w:val="13"/>
        </w:numPr>
        <w:spacing w:after="120" w:line="300" w:lineRule="auto"/>
      </w:pPr>
      <w:r>
        <w:rPr>
          <w:rFonts w:ascii="Calibri" w:hAnsi="Calibri"/>
          <w:color w:val="000000"/>
          <w:sz w:val="22"/>
        </w:rPr>
        <w:t>Freeze the output schema, processing version, and source snapshot for reproducibility.</w:t>
      </w:r>
    </w:p>
    <w:p>
      <w:pPr>
        <w:pStyle w:val="Heading2"/>
      </w:pPr>
      <w:r>
        <w:t>Market configuration record</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Configuration item</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entry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Market / MSA</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Name and geographic boundaries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Parcel authority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Agency, dataset, access method, refresh date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Entity authority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Secretary of State source and refresh date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Field mapping</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Local field → canonical field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Normalization version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Named ruleset/version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Thresholds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Default: 2+ LLCs and 2+ parcels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Known intermediaries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Local firms, agents, processors, virtual offices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QA owner</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Reviewer and approval date</w:t>
            </w:r>
          </w:p>
        </w:tc>
      </w:tr>
    </w:tbl>
    <w:p>
      <w:pPr>
        <w:spacing w:after="0"/>
      </w:pPr>
    </w:p>
    <w:p>
      <w:pPr>
        <w:pStyle w:val="Heading1"/>
      </w:pPr>
      <w:r>
        <w:t>18. Mailing preparation and operating safeguards</w:t>
      </w:r>
    </w:p>
    <w:p>
      <w:r>
        <w:t>Mailing preparation begins only after cluster qualification, entity review, and recipient routing. The research dataset and the outbound mailing list should remain separate artifacts so later suppression or compliance decisions do not alter the underlying evidence.</w:t>
      </w:r>
    </w:p>
    <w:p>
      <w:pPr>
        <w:pStyle w:val="Heading2"/>
      </w:pPr>
      <w:r>
        <w:t>Mandatory mailing-list suppression and deduplication</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Control</w:t>
            </w:r>
          </w:p>
        </w:tc>
        <w:tc>
          <w:tcPr>
            <w:tcW w:type="dxa" w:w="68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Mandatory treatment</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Duplicate address</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Normalize the complete owner mailing address, preserving suite/unit; consolidate to one outbound row and one card per resulting key.</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Lawyer / law firm</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when the target destination or supported addressee is legal counsel, an attorney, law office, or law firm.</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CPA / accountant</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when the target destination or supported addressee is a CPA, accountant, bookkeeping firm, or tax-preparation service.</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Registered/process agent</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when the target destination matches a registered-agent address, process-agent address, filing service, corporation service, or known mass-agent location.</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Care-of destination</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C/O and care-of targets from the automated campaign; retain for manual review.</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Property-address substitution</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when the proposed owner mailing address is actually a property/situs address marker.</w:t>
            </w:r>
          </w:p>
        </w:tc>
      </w:tr>
      <w:tr>
        <w:trPr>
          <w:cantSplit/>
        </w:trPr>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Low/manual-review confidence</w:t>
            </w:r>
          </w:p>
        </w:tc>
        <w:tc>
          <w:tcPr>
            <w:tcW w:type="dxa" w:w="6860"/>
            <w:vAlign w:val="top"/>
            <w:tcMar>
              <w:top w:w="80" w:type="dxa"/>
              <w:start w:w="120" w:type="dxa"/>
              <w:bottom w:w="80" w:type="dxa"/>
              <w:end w:w="120" w:type="dxa"/>
            </w:tcMar>
          </w:tcPr>
          <w:p>
            <w:pPr>
              <w:spacing w:after="60" w:line="252" w:lineRule="auto"/>
            </w:pPr>
            <w:r/>
            <w:r>
              <w:rPr>
                <w:rFonts w:ascii="Calibri" w:hAnsi="Calibri"/>
                <w:color w:val="000000"/>
                <w:sz w:val="18"/>
              </w:rPr>
              <w:t>Exclude from automated release and retain the reasons and evidence in the audit log.</w:t>
            </w:r>
          </w:p>
        </w:tc>
      </w:tr>
    </w:tbl>
    <w:p>
      <w:pPr>
        <w:spacing w:after="0"/>
      </w:pPr>
    </w:p>
    <w:p>
      <w:pPr>
        <w:numPr>
          <w:ilvl w:val="0"/>
          <w:numId w:val="10"/>
        </w:numPr>
        <w:spacing w:before="0" w:after="80" w:line="300" w:lineRule="auto"/>
      </w:pPr>
      <w:r>
        <w:rPr>
          <w:rFonts w:ascii="Calibri" w:hAnsi="Calibri"/>
          <w:color w:val="000000"/>
          <w:sz w:val="22"/>
        </w:rPr>
        <w:t>Validate address deliverability and standardization through an authorized postal process before printing.</w:t>
      </w:r>
    </w:p>
    <w:p>
      <w:pPr>
        <w:numPr>
          <w:ilvl w:val="0"/>
          <w:numId w:val="10"/>
        </w:numPr>
        <w:spacing w:before="0" w:after="80" w:line="300" w:lineRule="auto"/>
      </w:pPr>
      <w:r>
        <w:rPr>
          <w:rFonts w:ascii="Calibri" w:hAnsi="Calibri"/>
          <w:color w:val="000000"/>
          <w:sz w:val="22"/>
        </w:rPr>
        <w:t>Maintain suppression lists for returned mail, opt-outs, do-not-contact decisions, and duplicate households/addresses.</w:t>
      </w:r>
    </w:p>
    <w:p>
      <w:pPr>
        <w:numPr>
          <w:ilvl w:val="0"/>
          <w:numId w:val="10"/>
        </w:numPr>
        <w:spacing w:before="0" w:after="80" w:line="300" w:lineRule="auto"/>
      </w:pPr>
      <w:r>
        <w:rPr>
          <w:rFonts w:ascii="Calibri" w:hAnsi="Calibri"/>
          <w:color w:val="000000"/>
          <w:sz w:val="22"/>
        </w:rPr>
        <w:t>Do not include sensitive personal information on the card or in exposed tracking parameters.</w:t>
      </w:r>
    </w:p>
    <w:p>
      <w:pPr>
        <w:numPr>
          <w:ilvl w:val="0"/>
          <w:numId w:val="10"/>
        </w:numPr>
        <w:spacing w:before="0" w:after="80" w:line="300" w:lineRule="auto"/>
      </w:pPr>
      <w:r>
        <w:rPr>
          <w:rFonts w:ascii="Calibri" w:hAnsi="Calibri"/>
          <w:color w:val="000000"/>
          <w:sz w:val="22"/>
        </w:rPr>
        <w:t>Use public-record information only for the documented business purpose and review applicable federal, state, and local solicitation rules before launch.</w:t>
      </w:r>
    </w:p>
    <w:p>
      <w:pPr>
        <w:numPr>
          <w:ilvl w:val="0"/>
          <w:numId w:val="10"/>
        </w:numPr>
        <w:spacing w:before="0" w:after="80" w:line="300" w:lineRule="auto"/>
      </w:pPr>
      <w:r>
        <w:rPr>
          <w:rFonts w:ascii="Calibri" w:hAnsi="Calibri"/>
          <w:color w:val="000000"/>
          <w:sz w:val="22"/>
        </w:rPr>
        <w:t>Retain the research basis, mailing version, and campaign date so each card can be traced to an approved mailing-ready record.</w:t>
      </w:r>
    </w:p>
    <w:p>
      <w:pPr>
        <w:pStyle w:val="Heading2"/>
      </w:pPr>
      <w:r>
        <w:t>Pre-mail release gate</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Gate</w:t>
            </w:r>
          </w:p>
        </w:tc>
        <w:tc>
          <w:tcPr>
            <w:tcW w:type="dxa" w:w="74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approval</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Data</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Cluster and parcel evidence passed all acceptance tests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Identity</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Recipient name and confidence treatment follow this specification</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Deduplication</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Exactly one campaign row exists for each normalized owner mailing address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Professional suppression</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Lawyers, agents, CPAs/accountants, filing services, care-of addresses, and flagged situs substitutions are absent from the outbound list and present in the exclusion audit</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Postal</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USPS CASS/DPV completed; NCOA and campaign suppressions applied when appropriate</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Content</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Card copy approved; no unsupported ownership claims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Compliance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Campaign reviewed for applicable solicitation/privacy requirements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Archive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Source snapshot, mailing version, exclusion audit, and approval log retained</w:t>
            </w:r>
          </w:p>
        </w:tc>
      </w:tr>
    </w:tbl>
    <w:p>
      <w:pPr>
        <w:spacing w:after="0"/>
      </w:pPr>
    </w:p>
    <w:p>
      <w:r>
        <w:br w:type="page"/>
      </w:r>
    </w:p>
    <w:p>
      <w:pPr>
        <w:pStyle w:val="Heading1"/>
      </w:pPr>
      <w:r>
        <w:t>19. New-MSA implementation baseline</w:t>
      </w:r>
    </w:p>
    <w:p>
      <w:r>
        <w:t>Every MSA is implemented as a market adapter under this master specification. Local source names and availability may differ, but the canonical fields, clustering rule, qualification thresholds, mailing suppressions, deduplication rule, evidence package, and release gates remain common.</w:t>
      </w:r>
    </w:p>
    <w:p>
      <w:pPr>
        <w:pStyle w:val="Heading2"/>
      </w:pPr>
      <w:r>
        <w:t>Implementation sequence</w:t>
      </w:r>
    </w:p>
    <w:p>
      <w:pPr>
        <w:numPr>
          <w:ilvl w:val="0"/>
          <w:numId w:val="14"/>
        </w:numPr>
        <w:spacing w:after="120" w:line="300" w:lineRule="auto"/>
      </w:pPr>
      <w:r>
        <w:rPr>
          <w:rFonts w:ascii="Calibri" w:hAnsi="Calibri"/>
          <w:color w:val="000000"/>
          <w:sz w:val="22"/>
        </w:rPr>
        <w:t>Create the MSA folder below this master specification.</w:t>
      </w:r>
    </w:p>
    <w:p>
      <w:pPr>
        <w:numPr>
          <w:ilvl w:val="0"/>
          <w:numId w:val="14"/>
        </w:numPr>
        <w:spacing w:after="120" w:line="300" w:lineRule="auto"/>
      </w:pPr>
      <w:r>
        <w:rPr>
          <w:rFonts w:ascii="Calibri" w:hAnsi="Calibri"/>
          <w:color w:val="000000"/>
          <w:sz w:val="22"/>
        </w:rPr>
        <w:t>Define the geographic boundary and acquire a versioned parcel/assessment universe.</w:t>
      </w:r>
    </w:p>
    <w:p>
      <w:pPr>
        <w:numPr>
          <w:ilvl w:val="0"/>
          <w:numId w:val="14"/>
        </w:numPr>
        <w:spacing w:after="120" w:line="300" w:lineRule="auto"/>
      </w:pPr>
      <w:r>
        <w:rPr>
          <w:rFonts w:ascii="Calibri" w:hAnsi="Calibri"/>
          <w:color w:val="000000"/>
          <w:sz w:val="22"/>
        </w:rPr>
        <w:t>Map local legal-owner, owner-mailing, situs, parcel-ID, and source-vintage fields to the canonical model.</w:t>
      </w:r>
    </w:p>
    <w:p>
      <w:pPr>
        <w:numPr>
          <w:ilvl w:val="0"/>
          <w:numId w:val="14"/>
        </w:numPr>
        <w:spacing w:after="120" w:line="300" w:lineRule="auto"/>
      </w:pPr>
      <w:r>
        <w:rPr>
          <w:rFonts w:ascii="Calibri" w:hAnsi="Calibri"/>
          <w:color w:val="000000"/>
          <w:sz w:val="22"/>
        </w:rPr>
        <w:t>Apply the terminal LLC test to all properties without a property-class or unit-count prefilter.</w:t>
      </w:r>
    </w:p>
    <w:p>
      <w:pPr>
        <w:numPr>
          <w:ilvl w:val="0"/>
          <w:numId w:val="14"/>
        </w:numPr>
        <w:spacing w:after="120" w:line="300" w:lineRule="auto"/>
      </w:pPr>
      <w:r>
        <w:rPr>
          <w:rFonts w:ascii="Calibri" w:hAnsi="Calibri"/>
          <w:color w:val="000000"/>
          <w:sz w:val="22"/>
        </w:rPr>
        <w:t>Normalize the owner mailing address, group by that key, and apply the two-LLC/two-parcel threshold.</w:t>
      </w:r>
    </w:p>
    <w:p>
      <w:pPr>
        <w:numPr>
          <w:ilvl w:val="0"/>
          <w:numId w:val="14"/>
        </w:numPr>
        <w:spacing w:after="120" w:line="300" w:lineRule="auto"/>
      </w:pPr>
      <w:r>
        <w:rPr>
          <w:rFonts w:ascii="Calibri" w:hAnsi="Calibri"/>
          <w:color w:val="000000"/>
          <w:sz w:val="22"/>
        </w:rPr>
        <w:t>Profile and flag professional intermediaries, service addresses, care-of destinations, and property-address substitutions.</w:t>
      </w:r>
    </w:p>
    <w:p>
      <w:pPr>
        <w:numPr>
          <w:ilvl w:val="0"/>
          <w:numId w:val="14"/>
        </w:numPr>
        <w:spacing w:after="120" w:line="300" w:lineRule="auto"/>
      </w:pPr>
      <w:r>
        <w:rPr>
          <w:rFonts w:ascii="Calibri" w:hAnsi="Calibri"/>
          <w:color w:val="000000"/>
          <w:sz w:val="22"/>
        </w:rPr>
        <w:t>Match qualifying LLCs to the relevant state entity authority after clustering.</w:t>
      </w:r>
    </w:p>
    <w:p>
      <w:pPr>
        <w:numPr>
          <w:ilvl w:val="0"/>
          <w:numId w:val="14"/>
        </w:numPr>
        <w:spacing w:after="120" w:line="300" w:lineRule="auto"/>
      </w:pPr>
      <w:r>
        <w:rPr>
          <w:rFonts w:ascii="Calibri" w:hAnsi="Calibri"/>
          <w:color w:val="000000"/>
          <w:sz w:val="22"/>
        </w:rPr>
        <w:t>Publish cluster evidence, property evidence, a deduplicated and screened mailing file, and the exclusion audit.</w:t>
      </w:r>
    </w:p>
    <w:p>
      <w:pPr>
        <w:numPr>
          <w:ilvl w:val="0"/>
          <w:numId w:val="14"/>
        </w:numPr>
        <w:spacing w:after="120" w:line="300" w:lineRule="auto"/>
      </w:pPr>
      <w:r>
        <w:rPr>
          <w:rFonts w:ascii="Calibri" w:hAnsi="Calibri"/>
          <w:color w:val="000000"/>
          <w:sz w:val="22"/>
        </w:rPr>
        <w:t>Complete postal validation, compliance review, and print authorization.</w:t>
      </w:r>
    </w:p>
    <w:p>
      <w:pPr>
        <w:pStyle w:val="Heading2"/>
      </w:pPr>
      <w:r>
        <w:t>MSA activation requirement</w:t>
      </w:r>
    </w:p>
    <w:p>
      <w:r>
        <w:t>An MSA is ready to trigger only when its source snapshot, canonical field mapping, normalization version, intermediary-screening method, entity-source access, output locations, QA reviewer, and postal-validation handoff are documented and testable against this master specification.</w:t>
      </w:r>
    </w:p>
    <w:p>
      <w:pPr>
        <w:pStyle w:val="Heading1"/>
      </w:pPr>
      <w:r>
        <w:t>20. Definitions and version control</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Term</w:t>
            </w:r>
          </w:p>
        </w:tc>
        <w:tc>
          <w:tcPr>
            <w:tcW w:type="dxa" w:w="67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Owner mailing address</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Address where the parcel authority sends owner/tax correspondence; the clustering key</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Property/situs address</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Physical location of the parcel; inventory evidence only</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Candidate cluster</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Records sharing one normalized owner mailing address before final confidence review</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Qualified cluster</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Candidate meeting 2+ LLC and 2+ parcel thresholds</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Intermediary flag</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Signal that the address may belong to a professional service provider</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Corroboration</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Independent entity evidence supporting a common-control hypothesis</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Probable portfolio</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Qualified and reviewed cluster; not a legal conclusion of beneficial ownership</w:t>
            </w:r>
          </w:p>
        </w:tc>
      </w:tr>
    </w:tbl>
    <w:p>
      <w:pPr>
        <w:spacing w:after="0"/>
      </w:pPr>
    </w:p>
    <w:p>
      <w:pPr>
        <w:pStyle w:val="Heading2"/>
      </w:pPr>
      <w:r>
        <w:t>Document control</w:t>
      </w:r>
    </w:p>
    <w:tbl>
      <w:tblPr>
        <w:tblStyle w:val="TableGrid"/>
        <w:tblW w:type="dxa" w:w="9360"/>
        <w:jc w:val="center"/>
        <w:tblLayout w:type="fixed"/>
        <w:tblLook w:firstColumn="1" w:firstRow="1" w:lastColumn="0" w:lastRow="0" w:noHBand="0" w:noVBand="1" w:val="04A0"/>
        <w:tblInd w:w="120" w:type="dxa"/>
      </w:tblPr>
      <w:tblGrid>
        <w:gridCol w:w="1100"/>
        <w:gridCol w:w="1700"/>
        <w:gridCol w:w="1600"/>
        <w:gridCol w:w="4960"/>
      </w:tblGrid>
      <w:tr>
        <w:trPr>
          <w:tblHeader w:val="true"/>
          <w:cantSplit/>
        </w:trPr>
        <w:tc>
          <w:tcPr>
            <w:tcW w:type="dxa" w:w="11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Version</w:t>
            </w:r>
          </w:p>
        </w:tc>
        <w:tc>
          <w:tcPr>
            <w:tcW w:type="dxa" w:w="17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Date</w:t>
            </w:r>
          </w:p>
        </w:tc>
        <w:tc>
          <w:tcPr>
            <w:tcW w:type="dxa" w:w="16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Status</w:t>
            </w:r>
          </w:p>
        </w:tc>
        <w:tc>
          <w:tcPr>
            <w:tcW w:type="dxa" w:w="49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Change</w:t>
            </w:r>
          </w:p>
        </w:tc>
      </w:tr>
      <w:tr>
        <w:trPr>
          <w:cantSplit/>
        </w:trPr>
        <w:tc>
          <w:tcPr>
            <w:tcW w:type="dxa" w:w="1100"/>
            <w:vAlign w:val="top"/>
            <w:tcMar>
              <w:top w:w="80" w:type="dxa"/>
              <w:start w:w="120" w:type="dxa"/>
              <w:bottom w:w="80" w:type="dxa"/>
              <w:end w:w="120" w:type="dxa"/>
            </w:tcMar>
          </w:tcPr>
          <w:p>
            <w:pPr>
              <w:spacing w:after="60" w:line="252" w:lineRule="auto"/>
            </w:pPr>
            <w:r/>
            <w:r>
              <w:rPr>
                <w:rFonts w:ascii="Calibri" w:hAnsi="Calibri"/>
                <w:color w:val="000000"/>
                <w:sz w:val="18"/>
              </w:rPr>
              <w:t>2.0</w:t>
            </w:r>
          </w:p>
        </w:tc>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28 Aug 2026</w:t>
            </w:r>
          </w:p>
        </w:tc>
        <w:tc>
          <w:tcPr>
            <w:tcW w:type="dxa" w:w="1600"/>
            <w:vAlign w:val="top"/>
            <w:tcMar>
              <w:top w:w="80" w:type="dxa"/>
              <w:start w:w="120" w:type="dxa"/>
              <w:bottom w:w="80" w:type="dxa"/>
              <w:end w:w="120" w:type="dxa"/>
            </w:tcMar>
          </w:tcPr>
          <w:p>
            <w:pPr>
              <w:spacing w:after="60" w:line="252" w:lineRule="auto"/>
            </w:pPr>
            <w:r/>
            <w:r>
              <w:rPr>
                <w:rFonts w:ascii="Calibri" w:hAnsi="Calibri"/>
                <w:color w:val="000000"/>
                <w:sz w:val="18"/>
              </w:rPr>
              <w:t>Master</w:t>
            </w:r>
          </w:p>
        </w:tc>
        <w:tc>
          <w:tcPr>
            <w:tcW w:type="dxa" w:w="4960"/>
            <w:vAlign w:val="top"/>
            <w:tcMar>
              <w:top w:w="80" w:type="dxa"/>
              <w:start w:w="120" w:type="dxa"/>
              <w:bottom w:w="80" w:type="dxa"/>
              <w:end w:w="120" w:type="dxa"/>
            </w:tcMar>
          </w:tcPr>
          <w:p>
            <w:pPr>
              <w:spacing w:after="60" w:line="252" w:lineRule="auto"/>
            </w:pPr>
            <w:r/>
            <w:r>
              <w:rPr>
                <w:rFonts w:ascii="Calibri" w:hAnsi="Calibri"/>
                <w:color w:val="000000"/>
                <w:sz w:val="18"/>
              </w:rPr>
              <w:t>Generic all-MSA specification; one-piece-per-address deduplication; lawyer, agent, CPA/accounting, filing-service, care-of, situs, and confidence suppressions; postal release gate</w:t>
            </w:r>
          </w:p>
        </w:tc>
      </w:tr>
    </w:tbl>
    <w:p>
      <w:pPr>
        <w:spacing w:after="0"/>
      </w:pPr>
    </w:p>
    <w:p>
      <w:r>
        <w:t>Future changes should preserve the core grouping rule unless a formally approved version explicitly replaces it: group different LLC owners by normalized owner tax mailing address, not by property address.</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9360"/>
    </w:tblGrid>
    <w:tr>
      <w:tc>
        <w:tcPr>
          <w:tcW w:type="dxa" w:w="9360"/>
          <w:tcMar>
            <w:top w:w="0" w:type="dxa"/>
            <w:start w:w="0" w:type="dxa"/>
            <w:bottom w:w="0" w:type="dxa"/>
            <w:end w:w="0" w:type="dxa"/>
          </w:tcMar>
        </w:tcPr>
        <w:p>
          <w:pPr>
            <w:spacing w:after="0"/>
            <w:jc w:val="center"/>
          </w:pPr>
          <w:r>
            <w:rPr>
              <w:rFonts w:ascii="Calibri" w:hAnsi="Calibri"/>
              <w:color w:val="666666"/>
              <w:sz w:val="17"/>
            </w:rPr>
            <w:t xml:space="preserve">Confidential Working Specification  |  Page </w:t>
          </w:r>
          <w:r>
            <w:rPr>
              <w:rFonts w:ascii="Calibri" w:hAnsi="Calibri"/>
              <w:color w:val="666666"/>
              <w:sz w:val="18"/>
            </w:rPr>
            <w:fldChar w:fldCharType="begin"/>
            <w:instrText xml:space="preserve">PAGE</w:instrText>
            <w:fldChar w:fldCharType="separate"/>
            <w:t>1</w:t>
            <w:fldChar w:fldCharType="end"/>
          </w:r>
          <w:r>
            <w:rPr>
              <w:rFonts w:ascii="Calibri" w:hAnsi="Calibri"/>
              <w:color w:val="666666"/>
              <w:sz w:val="17"/>
            </w:rPr>
            <w:t xml:space="preserve"> of </w:t>
          </w:r>
          <w:r>
            <w:rPr>
              <w:rFonts w:ascii="Calibri" w:hAnsi="Calibri"/>
              <w:color w:val="666666"/>
              <w:sz w:val="18"/>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9360"/>
    </w:tblGrid>
    <w:tr>
      <w:tc>
        <w:tcPr>
          <w:tcW w:type="dxa" w:w="9360"/>
          <w:tcMar>
            <w:top w:w="0" w:type="dxa"/>
            <w:start w:w="0" w:type="dxa"/>
            <w:bottom w:w="0" w:type="dxa"/>
            <w:end w:w="0" w:type="dxa"/>
          </w:tcMar>
        </w:tcPr>
        <w:p>
          <w:pPr>
            <w:spacing w:after="0"/>
            <w:jc w:val="center"/>
          </w:pPr>
          <w:r>
            <w:rPr>
              <w:rFonts w:ascii="Calibri" w:hAnsi="Calibri"/>
              <w:color w:val="666666"/>
              <w:sz w:val="17"/>
            </w:rPr>
            <w:t xml:space="preserve">Confidential Working Specification  |  Page </w:t>
          </w:r>
          <w:r>
            <w:rPr>
              <w:rFonts w:ascii="Calibri" w:hAnsi="Calibri"/>
              <w:color w:val="666666"/>
              <w:sz w:val="18"/>
            </w:rPr>
            <w:fldChar w:fldCharType="begin"/>
            <w:instrText xml:space="preserve">PAGE</w:instrText>
            <w:fldChar w:fldCharType="separate"/>
            <w:t>1</w:t>
            <w:fldChar w:fldCharType="end"/>
          </w:r>
          <w:r>
            <w:rPr>
              <w:rFonts w:ascii="Calibri" w:hAnsi="Calibri"/>
              <w:color w:val="666666"/>
              <w:sz w:val="17"/>
            </w:rPr>
            <w:t xml:space="preserve"> of </w:t>
          </w:r>
          <w:r>
            <w:rPr>
              <w:rFonts w:ascii="Calibri" w:hAnsi="Calibri"/>
              <w:color w:val="666666"/>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lvlJc w:val="left"/>
      <w:pPr>
        <w:tabs>
          <w:tab w:val="num" w:pos="540"/>
        </w:tabs>
        <w:ind w:left="540" w:hanging="270"/>
        <w:spacing w:after="120" w:line="300" w:lineRule="auto"/>
      </w:pPr>
    </w:lvl>
  </w:abstractNum>
  <w:abstractNum w:abstractNumId="11">
    <w:multiLevelType w:val="singleLevel"/>
    <w:lvl w:ilvl="0">
      <w:start w:val="1"/>
      <w:numFmt w:val="decimal"/>
      <w:lvlText w:val="%1."/>
      <w:suff w:val="tab"/>
      <w:lvlJc w:val="left"/>
      <w:pPr>
        <w:tabs>
          <w:tab w:val="num" w:pos="540"/>
        </w:tabs>
        <w:ind w:left="540" w:hanging="270"/>
        <w:spacing w:after="120" w:line="300" w:lineRule="auto"/>
      </w:pPr>
    </w:lvl>
  </w:abstractNum>
  <w:abstractNum w:abstractNumId="12">
    <w:multiLevelType w:val="singleLevel"/>
    <w:lvl w:ilvl="0">
      <w:start w:val="1"/>
      <w:numFmt w:val="decimal"/>
      <w:lvlText w:val="%1."/>
      <w:suff w:val="tab"/>
      <w:lvlJc w:val="left"/>
      <w:pPr>
        <w:tabs>
          <w:tab w:val="num" w:pos="540"/>
        </w:tabs>
        <w:ind w:left="540" w:hanging="270"/>
        <w:spacing w:after="120" w:line="300" w:lineRule="auto"/>
      </w:pPr>
    </w:lvl>
  </w:abstractNum>
  <w:abstractNum w:abstractNumId="13">
    <w:multiLevelType w:val="singleLevel"/>
    <w:lvl w:ilvl="0">
      <w:start w:val="1"/>
      <w:numFmt w:val="decimal"/>
      <w:lvlText w:val="%1."/>
      <w:suff w:val="tab"/>
      <w:lvlJc w:val="left"/>
      <w:pPr>
        <w:tabs>
          <w:tab w:val="num" w:pos="540"/>
        </w:tabs>
        <w:ind w:left="540" w:hanging="270"/>
        <w:spacing w:after="12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LLC Portfolio Identification and Mailing Research — Process Requirements</dc:title>
  <dc:subject>Generic all-MSA requirements specification for LLC portfolio research and controlled direct mail</dc:subject>
  <dc:creator>OpenAI Codex</dc:creator>
  <cp:keywords>LLC, parcel, owner mailing address, portfolio, MSA, deduplication, direct mail, professional intermediary suppression</cp:keywords>
  <dc:description>generated by python-docx</dc:description>
  <cp:lastModifiedBy/>
  <cp:revision>1</cp:revision>
  <dcterms:created xsi:type="dcterms:W3CDTF">2013-12-23T23:15:00Z</dcterms:created>
  <dcterms:modified xsi:type="dcterms:W3CDTF">2013-12-23T23:15:00Z</dcterms:modified>
  <cp:category/>
</cp:coreProperties>
</file>