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6"/>
        </w:rPr>
        <w:t>CHICAGO MSA</w:t>
        <w:br/>
        <w:t>MARKET ADAPTER &amp; EXECUTION STATUS</w:t>
      </w:r>
    </w:p>
    <w:p>
      <w:pPr>
        <w:jc w:val="center"/>
      </w:pPr>
      <w:r>
        <w:rPr>
          <w:i/>
          <w:sz w:val="24"/>
        </w:rPr>
        <w:t>LLC portfolio identification by shared owner mailing address</w:t>
      </w:r>
    </w:p>
    <w:p/>
    <w:tbl>
      <w:tblPr>
        <w:tblStyle w:val="TableGrid"/>
        <w:tblW w:type="auto" w:w="0"/>
        <w:jc w:val="center"/>
        <w:tblLook w:firstColumn="1" w:firstRow="1" w:lastColumn="0" w:lastRow="0" w:noHBand="0" w:noVBand="1" w:val="04A0"/>
      </w:tblPr>
      <w:tblGrid>
        <w:gridCol w:w="5112"/>
        <w:gridCol w:w="5112"/>
      </w:tblGrid>
      <w:tr>
        <w:tc>
          <w:tcPr>
            <w:tcW w:type="dxa" w:w="3024"/>
            <w:shd w:fill="000000"/>
            <w:vAlign w:val="center"/>
          </w:tcPr>
          <w:p>
            <w:r/>
            <w:r>
              <w:rPr>
                <w:rFonts w:ascii="Arial" w:hAnsi="Arial"/>
                <w:b/>
                <w:color w:val="FFFFFF"/>
                <w:sz w:val="18"/>
              </w:rPr>
              <w:t>Control</w:t>
            </w:r>
          </w:p>
        </w:tc>
        <w:tc>
          <w:tcPr>
            <w:tcW w:type="dxa" w:w="8208"/>
            <w:shd w:fill="000000"/>
            <w:vAlign w:val="center"/>
          </w:tcPr>
          <w:p>
            <w:r/>
            <w:r>
              <w:rPr>
                <w:rFonts w:ascii="Arial" w:hAnsi="Arial"/>
                <w:b/>
                <w:color w:val="FFFFFF"/>
                <w:sz w:val="18"/>
              </w:rPr>
              <w:t>Value</w:t>
            </w:r>
          </w:p>
        </w:tc>
      </w:tr>
      <w:tr>
        <w:tc>
          <w:tcPr>
            <w:tcW w:type="dxa" w:w="3024"/>
            <w:vAlign w:val="center"/>
          </w:tcPr>
          <w:p>
            <w:r/>
            <w:r>
              <w:rPr>
                <w:rFonts w:ascii="Arial" w:hAnsi="Arial"/>
                <w:b w:val="0"/>
                <w:color w:val="000000"/>
                <w:sz w:val="18"/>
              </w:rPr>
              <w:t>Market</w:t>
            </w:r>
          </w:p>
        </w:tc>
        <w:tc>
          <w:tcPr>
            <w:tcW w:type="dxa" w:w="8208"/>
            <w:vAlign w:val="center"/>
          </w:tcPr>
          <w:p>
            <w:r/>
            <w:r>
              <w:rPr>
                <w:rFonts w:ascii="Arial" w:hAnsi="Arial"/>
                <w:b w:val="0"/>
                <w:color w:val="000000"/>
                <w:sz w:val="18"/>
              </w:rPr>
              <w:t>Chicago-Naperville-Elgin, IL-IN Metropolitan Statistical Area (CBSA 16980)</w:t>
            </w:r>
          </w:p>
        </w:tc>
      </w:tr>
      <w:tr>
        <w:tc>
          <w:tcPr>
            <w:tcW w:type="dxa" w:w="3024"/>
            <w:vAlign w:val="center"/>
          </w:tcPr>
          <w:p>
            <w:r/>
            <w:r>
              <w:rPr>
                <w:rFonts w:ascii="Arial" w:hAnsi="Arial"/>
                <w:b w:val="0"/>
                <w:color w:val="000000"/>
                <w:sz w:val="18"/>
              </w:rPr>
              <w:t>Boundary basis</w:t>
            </w:r>
          </w:p>
        </w:tc>
        <w:tc>
          <w:tcPr>
            <w:tcW w:type="dxa" w:w="8208"/>
            <w:vAlign w:val="center"/>
          </w:tcPr>
          <w:p>
            <w:r/>
            <w:r>
              <w:rPr>
                <w:rFonts w:ascii="Arial" w:hAnsi="Arial"/>
                <w:b w:val="0"/>
                <w:color w:val="000000"/>
                <w:sz w:val="18"/>
              </w:rPr>
              <w:t>U.S. Census Bureau / OMB July 2023 delineation</w:t>
            </w:r>
          </w:p>
        </w:tc>
      </w:tr>
      <w:tr>
        <w:tc>
          <w:tcPr>
            <w:tcW w:type="dxa" w:w="3024"/>
            <w:vAlign w:val="center"/>
          </w:tcPr>
          <w:p>
            <w:r/>
            <w:r>
              <w:rPr>
                <w:rFonts w:ascii="Arial" w:hAnsi="Arial"/>
                <w:b w:val="0"/>
                <w:color w:val="000000"/>
                <w:sz w:val="18"/>
              </w:rPr>
              <w:t>Governing specification</w:t>
            </w:r>
          </w:p>
        </w:tc>
        <w:tc>
          <w:tcPr>
            <w:tcW w:type="dxa" w:w="8208"/>
            <w:vAlign w:val="center"/>
          </w:tcPr>
          <w:p>
            <w:r/>
            <w:r>
              <w:rPr>
                <w:rFonts w:ascii="Arial" w:hAnsi="Arial"/>
                <w:b w:val="0"/>
                <w:color w:val="000000"/>
                <w:sz w:val="18"/>
              </w:rPr>
              <w:t>00_MASTER_SPECIFICATION/LLC_Portfolio_Identification_and_Mailing_Master_Specification.docx</w:t>
            </w:r>
          </w:p>
        </w:tc>
      </w:tr>
      <w:tr>
        <w:tc>
          <w:tcPr>
            <w:tcW w:type="dxa" w:w="3024"/>
            <w:vAlign w:val="center"/>
          </w:tcPr>
          <w:p>
            <w:r/>
            <w:r>
              <w:rPr>
                <w:rFonts w:ascii="Arial" w:hAnsi="Arial"/>
                <w:b w:val="0"/>
                <w:color w:val="000000"/>
                <w:sz w:val="18"/>
              </w:rPr>
              <w:t>Status date</w:t>
            </w:r>
          </w:p>
        </w:tc>
        <w:tc>
          <w:tcPr>
            <w:tcW w:type="dxa" w:w="8208"/>
            <w:vAlign w:val="center"/>
          </w:tcPr>
          <w:p>
            <w:r/>
            <w:r>
              <w:rPr>
                <w:rFonts w:ascii="Arial" w:hAnsi="Arial"/>
                <w:b w:val="0"/>
                <w:color w:val="000000"/>
                <w:sz w:val="18"/>
              </w:rPr>
              <w:t>August 28, 2026</w:t>
            </w:r>
          </w:p>
        </w:tc>
      </w:tr>
      <w:tr>
        <w:tc>
          <w:tcPr>
            <w:tcW w:type="dxa" w:w="3024"/>
            <w:vAlign w:val="center"/>
          </w:tcPr>
          <w:p>
            <w:r/>
            <w:r>
              <w:rPr>
                <w:rFonts w:ascii="Arial" w:hAnsi="Arial"/>
                <w:b w:val="0"/>
                <w:color w:val="000000"/>
                <w:sz w:val="18"/>
              </w:rPr>
              <w:t>Executed county adapters</w:t>
            </w:r>
          </w:p>
        </w:tc>
        <w:tc>
          <w:tcPr>
            <w:tcW w:type="dxa" w:w="8208"/>
            <w:vAlign w:val="center"/>
          </w:tcPr>
          <w:p>
            <w:r/>
            <w:r>
              <w:rPr>
                <w:rFonts w:ascii="Arial" w:hAnsi="Arial"/>
                <w:b w:val="0"/>
                <w:color w:val="000000"/>
                <w:sz w:val="18"/>
              </w:rPr>
              <w:t>Cook County and Kendall County, Illinois</w:t>
            </w:r>
          </w:p>
        </w:tc>
      </w:tr>
      <w:tr>
        <w:tc>
          <w:tcPr>
            <w:tcW w:type="dxa" w:w="3024"/>
            <w:vAlign w:val="center"/>
          </w:tcPr>
          <w:p>
            <w:r/>
            <w:r>
              <w:rPr>
                <w:rFonts w:ascii="Arial" w:hAnsi="Arial"/>
                <w:b w:val="0"/>
                <w:color w:val="000000"/>
                <w:sz w:val="18"/>
              </w:rPr>
              <w:t>Mailing status</w:t>
            </w:r>
          </w:p>
        </w:tc>
        <w:tc>
          <w:tcPr>
            <w:tcW w:type="dxa" w:w="8208"/>
            <w:vAlign w:val="center"/>
          </w:tcPr>
          <w:p>
            <w:r/>
            <w:r>
              <w:rPr>
                <w:rFonts w:ascii="Arial" w:hAnsi="Arial"/>
                <w:b w:val="0"/>
                <w:color w:val="000000"/>
                <w:sz w:val="18"/>
              </w:rPr>
              <w:t>RESEARCH ONLY — no Chicago record is approved for printing yet</w:t>
            </w:r>
          </w:p>
        </w:tc>
      </w:tr>
    </w:tbl>
    <w:p/>
    <w:p>
      <w:pPr>
        <w:pStyle w:val="Heading1"/>
      </w:pPr>
      <w:r>
        <w:t>1. Purpose and non-negotiable rule</w:t>
      </w:r>
    </w:p>
    <w:p>
      <w:r>
        <w:t>This market adapter applies the generic master specification to Chicago and surrounding counties. It does not select multifamily parcels or require a unit-count threshold. Every parcel class remains in scope when the normalized legal owner name ends in LLC.</w:t>
      </w:r>
    </w:p>
    <w:p>
      <w:r>
        <w:rPr>
          <w:b/>
        </w:rPr>
        <w:t>The portfolio correlation key is the owner mailing address—not the property/situs address.</w:t>
      </w:r>
    </w:p>
    <w:p>
      <w:r>
        <w:t>A candidate portfolio exists only when the same normalized owner mailing address links at least two distinct LLC names and at least two distinct parcels. One outbound mail row is eventually produced per validated mailing address, after service-provider and postal suppressions.</w:t>
      </w:r>
    </w:p>
    <w:p>
      <w:pPr>
        <w:pStyle w:val="Heading1"/>
      </w:pPr>
      <w:r>
        <w:t>2. Operating flow</w:t>
      </w:r>
    </w:p>
    <w:tbl>
      <w:tblPr>
        <w:tblStyle w:val="TableGrid"/>
        <w:tblW w:type="auto" w:w="0"/>
        <w:jc w:val="center"/>
        <w:tblLook w:firstColumn="1" w:firstRow="1" w:lastColumn="0" w:lastRow="0" w:noHBand="0" w:noVBand="1" w:val="04A0"/>
      </w:tblPr>
      <w:tblGrid>
        <w:gridCol w:w="3408"/>
        <w:gridCol w:w="3408"/>
        <w:gridCol w:w="3408"/>
      </w:tblGrid>
      <w:tr>
        <w:tc>
          <w:tcPr>
            <w:tcW w:type="dxa" w:w="792"/>
            <w:shd w:fill="000000"/>
            <w:vAlign w:val="center"/>
          </w:tcPr>
          <w:p>
            <w:r/>
            <w:r>
              <w:rPr>
                <w:rFonts w:ascii="Arial" w:hAnsi="Arial"/>
                <w:b/>
                <w:color w:val="FFFFFF"/>
                <w:sz w:val="16"/>
              </w:rPr>
              <w:t>Step</w:t>
            </w:r>
          </w:p>
        </w:tc>
        <w:tc>
          <w:tcPr>
            <w:tcW w:type="dxa" w:w="2376"/>
            <w:shd w:fill="000000"/>
            <w:vAlign w:val="center"/>
          </w:tcPr>
          <w:p>
            <w:r/>
            <w:r>
              <w:rPr>
                <w:rFonts w:ascii="Arial" w:hAnsi="Arial"/>
                <w:b/>
                <w:color w:val="FFFFFF"/>
                <w:sz w:val="16"/>
              </w:rPr>
              <w:t>Stage</w:t>
            </w:r>
          </w:p>
        </w:tc>
        <w:tc>
          <w:tcPr>
            <w:tcW w:type="dxa" w:w="8064"/>
            <w:shd w:fill="000000"/>
            <w:vAlign w:val="center"/>
          </w:tcPr>
          <w:p>
            <w:r/>
            <w:r>
              <w:rPr>
                <w:rFonts w:ascii="Arial" w:hAnsi="Arial"/>
                <w:b/>
                <w:color w:val="FFFFFF"/>
                <w:sz w:val="16"/>
              </w:rPr>
              <w:t>Requirement</w:t>
            </w:r>
          </w:p>
        </w:tc>
      </w:tr>
      <w:tr>
        <w:tc>
          <w:tcPr>
            <w:tcW w:type="dxa" w:w="792"/>
            <w:vAlign w:val="center"/>
          </w:tcPr>
          <w:p>
            <w:r/>
            <w:r>
              <w:rPr>
                <w:rFonts w:ascii="Arial" w:hAnsi="Arial"/>
                <w:b w:val="0"/>
                <w:color w:val="000000"/>
                <w:sz w:val="16"/>
              </w:rPr>
              <w:t>1</w:t>
            </w:r>
          </w:p>
        </w:tc>
        <w:tc>
          <w:tcPr>
            <w:tcW w:type="dxa" w:w="2376"/>
            <w:vAlign w:val="center"/>
          </w:tcPr>
          <w:p>
            <w:r/>
            <w:r>
              <w:rPr>
                <w:rFonts w:ascii="Arial" w:hAnsi="Arial"/>
                <w:b w:val="0"/>
                <w:color w:val="000000"/>
                <w:sz w:val="16"/>
              </w:rPr>
              <w:t>Ingest all parcels</w:t>
            </w:r>
          </w:p>
        </w:tc>
        <w:tc>
          <w:tcPr>
            <w:tcW w:type="dxa" w:w="8064"/>
            <w:vAlign w:val="center"/>
          </w:tcPr>
          <w:p>
            <w:r/>
            <w:r>
              <w:rPr>
                <w:rFonts w:ascii="Arial" w:hAnsi="Arial"/>
                <w:b w:val="0"/>
                <w:color w:val="000000"/>
                <w:sz w:val="16"/>
              </w:rPr>
              <w:t>Retain parcel ID, legal owner, owner mailing address, situs, source year and row lineage.</w:t>
            </w:r>
          </w:p>
        </w:tc>
      </w:tr>
      <w:tr>
        <w:tc>
          <w:tcPr>
            <w:tcW w:type="dxa" w:w="792"/>
            <w:vAlign w:val="center"/>
          </w:tcPr>
          <w:p>
            <w:r/>
            <w:r>
              <w:rPr>
                <w:rFonts w:ascii="Arial" w:hAnsi="Arial"/>
                <w:b w:val="0"/>
                <w:color w:val="000000"/>
                <w:sz w:val="16"/>
              </w:rPr>
              <w:t>2</w:t>
            </w:r>
          </w:p>
        </w:tc>
        <w:tc>
          <w:tcPr>
            <w:tcW w:type="dxa" w:w="2376"/>
            <w:vAlign w:val="center"/>
          </w:tcPr>
          <w:p>
            <w:r/>
            <w:r>
              <w:rPr>
                <w:rFonts w:ascii="Arial" w:hAnsi="Arial"/>
                <w:b w:val="0"/>
                <w:color w:val="000000"/>
                <w:sz w:val="16"/>
              </w:rPr>
              <w:t>Filter LLC owners</w:t>
            </w:r>
          </w:p>
        </w:tc>
        <w:tc>
          <w:tcPr>
            <w:tcW w:type="dxa" w:w="8064"/>
            <w:vAlign w:val="center"/>
          </w:tcPr>
          <w:p>
            <w:r/>
            <w:r>
              <w:rPr>
                <w:rFonts w:ascii="Arial" w:hAnsi="Arial"/>
                <w:b w:val="0"/>
                <w:color w:val="000000"/>
                <w:sz w:val="16"/>
              </w:rPr>
              <w:t>Normalize the legal owner and require an LLC suffix at the end of the name.</w:t>
            </w:r>
          </w:p>
        </w:tc>
      </w:tr>
      <w:tr>
        <w:tc>
          <w:tcPr>
            <w:tcW w:type="dxa" w:w="792"/>
            <w:vAlign w:val="center"/>
          </w:tcPr>
          <w:p>
            <w:r/>
            <w:r>
              <w:rPr>
                <w:rFonts w:ascii="Arial" w:hAnsi="Arial"/>
                <w:b w:val="0"/>
                <w:color w:val="000000"/>
                <w:sz w:val="16"/>
              </w:rPr>
              <w:t>3</w:t>
            </w:r>
          </w:p>
        </w:tc>
        <w:tc>
          <w:tcPr>
            <w:tcW w:type="dxa" w:w="2376"/>
            <w:vAlign w:val="center"/>
          </w:tcPr>
          <w:p>
            <w:r/>
            <w:r>
              <w:rPr>
                <w:rFonts w:ascii="Arial" w:hAnsi="Arial"/>
                <w:b w:val="0"/>
                <w:color w:val="000000"/>
                <w:sz w:val="16"/>
              </w:rPr>
              <w:t>Normalize owner mailing address</w:t>
            </w:r>
          </w:p>
        </w:tc>
        <w:tc>
          <w:tcPr>
            <w:tcW w:type="dxa" w:w="8064"/>
            <w:vAlign w:val="center"/>
          </w:tcPr>
          <w:p>
            <w:r/>
            <w:r>
              <w:rPr>
                <w:rFonts w:ascii="Arial" w:hAnsi="Arial"/>
                <w:b w:val="0"/>
                <w:color w:val="000000"/>
                <w:sz w:val="16"/>
              </w:rPr>
              <w:t>Standardize street, city, state and ZIP. Never substitute the situs address.</w:t>
            </w:r>
          </w:p>
        </w:tc>
      </w:tr>
      <w:tr>
        <w:tc>
          <w:tcPr>
            <w:tcW w:type="dxa" w:w="792"/>
            <w:vAlign w:val="center"/>
          </w:tcPr>
          <w:p>
            <w:r/>
            <w:r>
              <w:rPr>
                <w:rFonts w:ascii="Arial" w:hAnsi="Arial"/>
                <w:b w:val="0"/>
                <w:color w:val="000000"/>
                <w:sz w:val="16"/>
              </w:rPr>
              <w:t>4</w:t>
            </w:r>
          </w:p>
        </w:tc>
        <w:tc>
          <w:tcPr>
            <w:tcW w:type="dxa" w:w="2376"/>
            <w:vAlign w:val="center"/>
          </w:tcPr>
          <w:p>
            <w:r/>
            <w:r>
              <w:rPr>
                <w:rFonts w:ascii="Arial" w:hAnsi="Arial"/>
                <w:b w:val="0"/>
                <w:color w:val="000000"/>
                <w:sz w:val="16"/>
              </w:rPr>
              <w:t>Cluster</w:t>
            </w:r>
          </w:p>
        </w:tc>
        <w:tc>
          <w:tcPr>
            <w:tcW w:type="dxa" w:w="8064"/>
            <w:vAlign w:val="center"/>
          </w:tcPr>
          <w:p>
            <w:r/>
            <w:r>
              <w:rPr>
                <w:rFonts w:ascii="Arial" w:hAnsi="Arial"/>
                <w:b w:val="0"/>
                <w:color w:val="000000"/>
                <w:sz w:val="16"/>
              </w:rPr>
              <w:t>Group different LLCs by the normalized owner mailing address.</w:t>
            </w:r>
          </w:p>
        </w:tc>
      </w:tr>
      <w:tr>
        <w:tc>
          <w:tcPr>
            <w:tcW w:type="dxa" w:w="792"/>
            <w:vAlign w:val="center"/>
          </w:tcPr>
          <w:p>
            <w:r/>
            <w:r>
              <w:rPr>
                <w:rFonts w:ascii="Arial" w:hAnsi="Arial"/>
                <w:b w:val="0"/>
                <w:color w:val="000000"/>
                <w:sz w:val="16"/>
              </w:rPr>
              <w:t>5</w:t>
            </w:r>
          </w:p>
        </w:tc>
        <w:tc>
          <w:tcPr>
            <w:tcW w:type="dxa" w:w="2376"/>
            <w:vAlign w:val="center"/>
          </w:tcPr>
          <w:p>
            <w:r/>
            <w:r>
              <w:rPr>
                <w:rFonts w:ascii="Arial" w:hAnsi="Arial"/>
                <w:b w:val="0"/>
                <w:color w:val="000000"/>
                <w:sz w:val="16"/>
              </w:rPr>
              <w:t>Qualify</w:t>
            </w:r>
          </w:p>
        </w:tc>
        <w:tc>
          <w:tcPr>
            <w:tcW w:type="dxa" w:w="8064"/>
            <w:vAlign w:val="center"/>
          </w:tcPr>
          <w:p>
            <w:r/>
            <w:r>
              <w:rPr>
                <w:rFonts w:ascii="Arial" w:hAnsi="Arial"/>
                <w:b w:val="0"/>
                <w:color w:val="000000"/>
                <w:sz w:val="16"/>
              </w:rPr>
              <w:t>Require 2+ distinct LLCs and 2+ distinct parcel IDs.</w:t>
            </w:r>
          </w:p>
        </w:tc>
      </w:tr>
      <w:tr>
        <w:tc>
          <w:tcPr>
            <w:tcW w:type="dxa" w:w="792"/>
            <w:vAlign w:val="center"/>
          </w:tcPr>
          <w:p>
            <w:r/>
            <w:r>
              <w:rPr>
                <w:rFonts w:ascii="Arial" w:hAnsi="Arial"/>
                <w:b w:val="0"/>
                <w:color w:val="000000"/>
                <w:sz w:val="16"/>
              </w:rPr>
              <w:t>6</w:t>
            </w:r>
          </w:p>
        </w:tc>
        <w:tc>
          <w:tcPr>
            <w:tcW w:type="dxa" w:w="2376"/>
            <w:vAlign w:val="center"/>
          </w:tcPr>
          <w:p>
            <w:r/>
            <w:r>
              <w:rPr>
                <w:rFonts w:ascii="Arial" w:hAnsi="Arial"/>
                <w:b w:val="0"/>
                <w:color w:val="000000"/>
                <w:sz w:val="16"/>
              </w:rPr>
              <w:t>Suppress</w:t>
            </w:r>
          </w:p>
        </w:tc>
        <w:tc>
          <w:tcPr>
            <w:tcW w:type="dxa" w:w="8064"/>
            <w:vAlign w:val="center"/>
          </w:tcPr>
          <w:p>
            <w:r/>
            <w:r>
              <w:rPr>
                <w:rFonts w:ascii="Arial" w:hAnsi="Arial"/>
                <w:b w:val="0"/>
                <w:color w:val="000000"/>
                <w:sz w:val="16"/>
              </w:rPr>
              <w:t>Remove lawyers, registered agents, CPAs/accountants, filing services, C/O and other service addresses.</w:t>
            </w:r>
          </w:p>
        </w:tc>
      </w:tr>
      <w:tr>
        <w:tc>
          <w:tcPr>
            <w:tcW w:type="dxa" w:w="792"/>
            <w:vAlign w:val="center"/>
          </w:tcPr>
          <w:p>
            <w:r/>
            <w:r>
              <w:rPr>
                <w:rFonts w:ascii="Arial" w:hAnsi="Arial"/>
                <w:b w:val="0"/>
                <w:color w:val="000000"/>
                <w:sz w:val="16"/>
              </w:rPr>
              <w:t>7</w:t>
            </w:r>
          </w:p>
        </w:tc>
        <w:tc>
          <w:tcPr>
            <w:tcW w:type="dxa" w:w="2376"/>
            <w:vAlign w:val="center"/>
          </w:tcPr>
          <w:p>
            <w:r/>
            <w:r>
              <w:rPr>
                <w:rFonts w:ascii="Arial" w:hAnsi="Arial"/>
                <w:b w:val="0"/>
                <w:color w:val="000000"/>
                <w:sz w:val="16"/>
              </w:rPr>
              <w:t>Postal validation</w:t>
            </w:r>
          </w:p>
        </w:tc>
        <w:tc>
          <w:tcPr>
            <w:tcW w:type="dxa" w:w="8064"/>
            <w:vAlign w:val="center"/>
          </w:tcPr>
          <w:p>
            <w:r/>
            <w:r>
              <w:rPr>
                <w:rFonts w:ascii="Arial" w:hAnsi="Arial"/>
                <w:b w:val="0"/>
                <w:color w:val="000000"/>
                <w:sz w:val="16"/>
              </w:rPr>
              <w:t>Run CASS/DPV and campaign suppressions before print authorization.</w:t>
            </w:r>
          </w:p>
        </w:tc>
      </w:tr>
      <w:tr>
        <w:tc>
          <w:tcPr>
            <w:tcW w:type="dxa" w:w="792"/>
            <w:vAlign w:val="center"/>
          </w:tcPr>
          <w:p>
            <w:r/>
            <w:r>
              <w:rPr>
                <w:rFonts w:ascii="Arial" w:hAnsi="Arial"/>
                <w:b w:val="0"/>
                <w:color w:val="000000"/>
                <w:sz w:val="16"/>
              </w:rPr>
              <w:t>8</w:t>
            </w:r>
          </w:p>
        </w:tc>
        <w:tc>
          <w:tcPr>
            <w:tcW w:type="dxa" w:w="2376"/>
            <w:vAlign w:val="center"/>
          </w:tcPr>
          <w:p>
            <w:r/>
            <w:r>
              <w:rPr>
                <w:rFonts w:ascii="Arial" w:hAnsi="Arial"/>
                <w:b w:val="0"/>
                <w:color w:val="000000"/>
                <w:sz w:val="16"/>
              </w:rPr>
              <w:t>Mail</w:t>
            </w:r>
          </w:p>
        </w:tc>
        <w:tc>
          <w:tcPr>
            <w:tcW w:type="dxa" w:w="8064"/>
            <w:vAlign w:val="center"/>
          </w:tcPr>
          <w:p>
            <w:r/>
            <w:r>
              <w:rPr>
                <w:rFonts w:ascii="Arial" w:hAnsi="Arial"/>
                <w:b w:val="0"/>
                <w:color w:val="000000"/>
                <w:sz w:val="16"/>
              </w:rPr>
              <w:t>Create one deduplicated postcard row per validated owner mailing address.</w:t>
            </w:r>
          </w:p>
        </w:tc>
      </w:tr>
    </w:tbl>
    <w:p/>
    <w:p>
      <w:pPr>
        <w:pStyle w:val="Heading1"/>
      </w:pPr>
      <w:r>
        <w:t>3. Official market boundary</w:t>
      </w:r>
    </w:p>
    <w:p>
      <w:r>
        <w:t>The July 2023 federal delineation contains 13 counties. Kenosha County, Wisconsin is part of the wider combined statistical area, not this MSA, and is therefore excluded from this adapter.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168"/>
            <w:shd w:fill="000000"/>
            <w:vAlign w:val="center"/>
          </w:tcPr>
          <w:p>
            <w:r/>
            <w:r>
              <w:rPr>
                <w:rFonts w:ascii="Arial" w:hAnsi="Arial"/>
                <w:b/>
                <w:color w:val="FFFFFF"/>
                <w:sz w:val="16"/>
              </w:rPr>
              <w:t>County</w:t>
            </w:r>
          </w:p>
        </w:tc>
        <w:tc>
          <w:tcPr>
            <w:tcW w:type="dxa" w:w="1584"/>
            <w:shd w:fill="000000"/>
            <w:vAlign w:val="center"/>
          </w:tcPr>
          <w:p>
            <w:r/>
            <w:r>
              <w:rPr>
                <w:rFonts w:ascii="Arial" w:hAnsi="Arial"/>
                <w:b/>
                <w:color w:val="FFFFFF"/>
                <w:sz w:val="16"/>
              </w:rPr>
              <w:t>State</w:t>
            </w:r>
          </w:p>
        </w:tc>
        <w:tc>
          <w:tcPr>
            <w:tcW w:type="dxa" w:w="2160"/>
            <w:shd w:fill="000000"/>
            <w:vAlign w:val="center"/>
          </w:tcPr>
          <w:p>
            <w:r/>
            <w:r>
              <w:rPr>
                <w:rFonts w:ascii="Arial" w:hAnsi="Arial"/>
                <w:b/>
                <w:color w:val="FFFFFF"/>
                <w:sz w:val="16"/>
              </w:rPr>
              <w:t>FIPS</w:t>
            </w:r>
          </w:p>
        </w:tc>
        <w:tc>
          <w:tcPr>
            <w:tcW w:type="dxa" w:w="3168"/>
            <w:shd w:fill="000000"/>
            <w:vAlign w:val="center"/>
          </w:tcPr>
          <w:p>
            <w:r/>
            <w:r>
              <w:rPr>
                <w:rFonts w:ascii="Arial" w:hAnsi="Arial"/>
                <w:b/>
                <w:color w:val="FFFFFF"/>
                <w:sz w:val="16"/>
              </w:rPr>
              <w:t>Role</w:t>
            </w:r>
          </w:p>
        </w:tc>
      </w:tr>
      <w:tr>
        <w:tc>
          <w:tcPr>
            <w:tcW w:type="dxa" w:w="3168"/>
            <w:vAlign w:val="center"/>
          </w:tcPr>
          <w:p>
            <w:r/>
            <w:r>
              <w:rPr>
                <w:rFonts w:ascii="Arial" w:hAnsi="Arial"/>
                <w:b w:val="0"/>
                <w:color w:val="000000"/>
                <w:sz w:val="16"/>
              </w:rPr>
              <w:t>Cook</w:t>
            </w:r>
          </w:p>
        </w:tc>
        <w:tc>
          <w:tcPr>
            <w:tcW w:type="dxa" w:w="1584"/>
            <w:vAlign w:val="center"/>
          </w:tcPr>
          <w:p>
            <w:r/>
            <w:r>
              <w:rPr>
                <w:rFonts w:ascii="Arial" w:hAnsi="Arial"/>
                <w:b w:val="0"/>
                <w:color w:val="000000"/>
                <w:sz w:val="16"/>
              </w:rPr>
              <w:t>IL</w:t>
            </w:r>
          </w:p>
        </w:tc>
        <w:tc>
          <w:tcPr>
            <w:tcW w:type="dxa" w:w="2160"/>
            <w:vAlign w:val="center"/>
          </w:tcPr>
          <w:p>
            <w:r/>
            <w:r>
              <w:rPr>
                <w:rFonts w:ascii="Arial" w:hAnsi="Arial"/>
                <w:b w:val="0"/>
                <w:color w:val="000000"/>
                <w:sz w:val="16"/>
              </w:rPr>
              <w:t>17031</w:t>
            </w:r>
          </w:p>
        </w:tc>
        <w:tc>
          <w:tcPr>
            <w:tcW w:type="dxa" w:w="3168"/>
            <w:vAlign w:val="center"/>
          </w:tcPr>
          <w:p>
            <w:r/>
            <w:r>
              <w:rPr>
                <w:rFonts w:ascii="Arial" w:hAnsi="Arial"/>
                <w:b w:val="0"/>
                <w:color w:val="000000"/>
                <w:sz w:val="16"/>
              </w:rPr>
              <w:t>Central</w:t>
            </w:r>
          </w:p>
        </w:tc>
      </w:tr>
      <w:tr>
        <w:tc>
          <w:tcPr>
            <w:tcW w:type="dxa" w:w="3168"/>
            <w:vAlign w:val="center"/>
          </w:tcPr>
          <w:p>
            <w:r/>
            <w:r>
              <w:rPr>
                <w:rFonts w:ascii="Arial" w:hAnsi="Arial"/>
                <w:b w:val="0"/>
                <w:color w:val="000000"/>
                <w:sz w:val="16"/>
              </w:rPr>
              <w:t>DuPage</w:t>
            </w:r>
          </w:p>
        </w:tc>
        <w:tc>
          <w:tcPr>
            <w:tcW w:type="dxa" w:w="1584"/>
            <w:vAlign w:val="center"/>
          </w:tcPr>
          <w:p>
            <w:r/>
            <w:r>
              <w:rPr>
                <w:rFonts w:ascii="Arial" w:hAnsi="Arial"/>
                <w:b w:val="0"/>
                <w:color w:val="000000"/>
                <w:sz w:val="16"/>
              </w:rPr>
              <w:t>IL</w:t>
            </w:r>
          </w:p>
        </w:tc>
        <w:tc>
          <w:tcPr>
            <w:tcW w:type="dxa" w:w="2160"/>
            <w:vAlign w:val="center"/>
          </w:tcPr>
          <w:p>
            <w:r/>
            <w:r>
              <w:rPr>
                <w:rFonts w:ascii="Arial" w:hAnsi="Arial"/>
                <w:b w:val="0"/>
                <w:color w:val="000000"/>
                <w:sz w:val="16"/>
              </w:rPr>
              <w:t>17043</w:t>
            </w:r>
          </w:p>
        </w:tc>
        <w:tc>
          <w:tcPr>
            <w:tcW w:type="dxa" w:w="3168"/>
            <w:vAlign w:val="center"/>
          </w:tcPr>
          <w:p>
            <w:r/>
            <w:r>
              <w:rPr>
                <w:rFonts w:ascii="Arial" w:hAnsi="Arial"/>
                <w:b w:val="0"/>
                <w:color w:val="000000"/>
                <w:sz w:val="16"/>
              </w:rPr>
              <w:t>Central</w:t>
            </w:r>
          </w:p>
        </w:tc>
      </w:tr>
      <w:tr>
        <w:tc>
          <w:tcPr>
            <w:tcW w:type="dxa" w:w="3168"/>
            <w:vAlign w:val="center"/>
          </w:tcPr>
          <w:p>
            <w:r/>
            <w:r>
              <w:rPr>
                <w:rFonts w:ascii="Arial" w:hAnsi="Arial"/>
                <w:b w:val="0"/>
                <w:color w:val="000000"/>
                <w:sz w:val="16"/>
              </w:rPr>
              <w:t>Grundy</w:t>
            </w:r>
          </w:p>
        </w:tc>
        <w:tc>
          <w:tcPr>
            <w:tcW w:type="dxa" w:w="1584"/>
            <w:vAlign w:val="center"/>
          </w:tcPr>
          <w:p>
            <w:r/>
            <w:r>
              <w:rPr>
                <w:rFonts w:ascii="Arial" w:hAnsi="Arial"/>
                <w:b w:val="0"/>
                <w:color w:val="000000"/>
                <w:sz w:val="16"/>
              </w:rPr>
              <w:t>IL</w:t>
            </w:r>
          </w:p>
        </w:tc>
        <w:tc>
          <w:tcPr>
            <w:tcW w:type="dxa" w:w="2160"/>
            <w:vAlign w:val="center"/>
          </w:tcPr>
          <w:p>
            <w:r/>
            <w:r>
              <w:rPr>
                <w:rFonts w:ascii="Arial" w:hAnsi="Arial"/>
                <w:b w:val="0"/>
                <w:color w:val="000000"/>
                <w:sz w:val="16"/>
              </w:rPr>
              <w:t>17063</w:t>
            </w:r>
          </w:p>
        </w:tc>
        <w:tc>
          <w:tcPr>
            <w:tcW w:type="dxa" w:w="3168"/>
            <w:vAlign w:val="center"/>
          </w:tcPr>
          <w:p>
            <w:r/>
            <w:r>
              <w:rPr>
                <w:rFonts w:ascii="Arial" w:hAnsi="Arial"/>
                <w:b w:val="0"/>
                <w:color w:val="000000"/>
                <w:sz w:val="16"/>
              </w:rPr>
              <w:t>Outlying</w:t>
            </w:r>
          </w:p>
        </w:tc>
      </w:tr>
      <w:tr>
        <w:tc>
          <w:tcPr>
            <w:tcW w:type="dxa" w:w="3168"/>
            <w:vAlign w:val="center"/>
          </w:tcPr>
          <w:p>
            <w:r/>
            <w:r>
              <w:rPr>
                <w:rFonts w:ascii="Arial" w:hAnsi="Arial"/>
                <w:b w:val="0"/>
                <w:color w:val="000000"/>
                <w:sz w:val="16"/>
              </w:rPr>
              <w:t>McHenry</w:t>
            </w:r>
          </w:p>
        </w:tc>
        <w:tc>
          <w:tcPr>
            <w:tcW w:type="dxa" w:w="1584"/>
            <w:vAlign w:val="center"/>
          </w:tcPr>
          <w:p>
            <w:r/>
            <w:r>
              <w:rPr>
                <w:rFonts w:ascii="Arial" w:hAnsi="Arial"/>
                <w:b w:val="0"/>
                <w:color w:val="000000"/>
                <w:sz w:val="16"/>
              </w:rPr>
              <w:t>IL</w:t>
            </w:r>
          </w:p>
        </w:tc>
        <w:tc>
          <w:tcPr>
            <w:tcW w:type="dxa" w:w="2160"/>
            <w:vAlign w:val="center"/>
          </w:tcPr>
          <w:p>
            <w:r/>
            <w:r>
              <w:rPr>
                <w:rFonts w:ascii="Arial" w:hAnsi="Arial"/>
                <w:b w:val="0"/>
                <w:color w:val="000000"/>
                <w:sz w:val="16"/>
              </w:rPr>
              <w:t>17111</w:t>
            </w:r>
          </w:p>
        </w:tc>
        <w:tc>
          <w:tcPr>
            <w:tcW w:type="dxa" w:w="3168"/>
            <w:vAlign w:val="center"/>
          </w:tcPr>
          <w:p>
            <w:r/>
            <w:r>
              <w:rPr>
                <w:rFonts w:ascii="Arial" w:hAnsi="Arial"/>
                <w:b w:val="0"/>
                <w:color w:val="000000"/>
                <w:sz w:val="16"/>
              </w:rPr>
              <w:t>Central</w:t>
            </w:r>
          </w:p>
        </w:tc>
      </w:tr>
      <w:tr>
        <w:tc>
          <w:tcPr>
            <w:tcW w:type="dxa" w:w="3168"/>
            <w:vAlign w:val="center"/>
          </w:tcPr>
          <w:p>
            <w:r/>
            <w:r>
              <w:rPr>
                <w:rFonts w:ascii="Arial" w:hAnsi="Arial"/>
                <w:b w:val="0"/>
                <w:color w:val="000000"/>
                <w:sz w:val="16"/>
              </w:rPr>
              <w:t>Will</w:t>
            </w:r>
          </w:p>
        </w:tc>
        <w:tc>
          <w:tcPr>
            <w:tcW w:type="dxa" w:w="1584"/>
            <w:vAlign w:val="center"/>
          </w:tcPr>
          <w:p>
            <w:r/>
            <w:r>
              <w:rPr>
                <w:rFonts w:ascii="Arial" w:hAnsi="Arial"/>
                <w:b w:val="0"/>
                <w:color w:val="000000"/>
                <w:sz w:val="16"/>
              </w:rPr>
              <w:t>IL</w:t>
            </w:r>
          </w:p>
        </w:tc>
        <w:tc>
          <w:tcPr>
            <w:tcW w:type="dxa" w:w="2160"/>
            <w:vAlign w:val="center"/>
          </w:tcPr>
          <w:p>
            <w:r/>
            <w:r>
              <w:rPr>
                <w:rFonts w:ascii="Arial" w:hAnsi="Arial"/>
                <w:b w:val="0"/>
                <w:color w:val="000000"/>
                <w:sz w:val="16"/>
              </w:rPr>
              <w:t>17197</w:t>
            </w:r>
          </w:p>
        </w:tc>
        <w:tc>
          <w:tcPr>
            <w:tcW w:type="dxa" w:w="3168"/>
            <w:vAlign w:val="center"/>
          </w:tcPr>
          <w:p>
            <w:r/>
            <w:r>
              <w:rPr>
                <w:rFonts w:ascii="Arial" w:hAnsi="Arial"/>
                <w:b w:val="0"/>
                <w:color w:val="000000"/>
                <w:sz w:val="16"/>
              </w:rPr>
              <w:t>Central</w:t>
            </w:r>
          </w:p>
        </w:tc>
      </w:tr>
      <w:tr>
        <w:tc>
          <w:tcPr>
            <w:tcW w:type="dxa" w:w="3168"/>
            <w:vAlign w:val="center"/>
          </w:tcPr>
          <w:p>
            <w:r/>
            <w:r>
              <w:rPr>
                <w:rFonts w:ascii="Arial" w:hAnsi="Arial"/>
                <w:b w:val="0"/>
                <w:color w:val="000000"/>
                <w:sz w:val="16"/>
              </w:rPr>
              <w:t>DeKalb</w:t>
            </w:r>
          </w:p>
        </w:tc>
        <w:tc>
          <w:tcPr>
            <w:tcW w:type="dxa" w:w="1584"/>
            <w:vAlign w:val="center"/>
          </w:tcPr>
          <w:p>
            <w:r/>
            <w:r>
              <w:rPr>
                <w:rFonts w:ascii="Arial" w:hAnsi="Arial"/>
                <w:b w:val="0"/>
                <w:color w:val="000000"/>
                <w:sz w:val="16"/>
              </w:rPr>
              <w:t>IL</w:t>
            </w:r>
          </w:p>
        </w:tc>
        <w:tc>
          <w:tcPr>
            <w:tcW w:type="dxa" w:w="2160"/>
            <w:vAlign w:val="center"/>
          </w:tcPr>
          <w:p>
            <w:r/>
            <w:r>
              <w:rPr>
                <w:rFonts w:ascii="Arial" w:hAnsi="Arial"/>
                <w:b w:val="0"/>
                <w:color w:val="000000"/>
                <w:sz w:val="16"/>
              </w:rPr>
              <w:t>17037</w:t>
            </w:r>
          </w:p>
        </w:tc>
        <w:tc>
          <w:tcPr>
            <w:tcW w:type="dxa" w:w="3168"/>
            <w:vAlign w:val="center"/>
          </w:tcPr>
          <w:p>
            <w:r/>
            <w:r>
              <w:rPr>
                <w:rFonts w:ascii="Arial" w:hAnsi="Arial"/>
                <w:b w:val="0"/>
                <w:color w:val="000000"/>
                <w:sz w:val="16"/>
              </w:rPr>
              <w:t>Outlying</w:t>
            </w:r>
          </w:p>
        </w:tc>
      </w:tr>
      <w:tr>
        <w:tc>
          <w:tcPr>
            <w:tcW w:type="dxa" w:w="3168"/>
            <w:vAlign w:val="center"/>
          </w:tcPr>
          <w:p>
            <w:r/>
            <w:r>
              <w:rPr>
                <w:rFonts w:ascii="Arial" w:hAnsi="Arial"/>
                <w:b w:val="0"/>
                <w:color w:val="000000"/>
                <w:sz w:val="16"/>
              </w:rPr>
              <w:t>Kane</w:t>
            </w:r>
          </w:p>
        </w:tc>
        <w:tc>
          <w:tcPr>
            <w:tcW w:type="dxa" w:w="1584"/>
            <w:vAlign w:val="center"/>
          </w:tcPr>
          <w:p>
            <w:r/>
            <w:r>
              <w:rPr>
                <w:rFonts w:ascii="Arial" w:hAnsi="Arial"/>
                <w:b w:val="0"/>
                <w:color w:val="000000"/>
                <w:sz w:val="16"/>
              </w:rPr>
              <w:t>IL</w:t>
            </w:r>
          </w:p>
        </w:tc>
        <w:tc>
          <w:tcPr>
            <w:tcW w:type="dxa" w:w="2160"/>
            <w:vAlign w:val="center"/>
          </w:tcPr>
          <w:p>
            <w:r/>
            <w:r>
              <w:rPr>
                <w:rFonts w:ascii="Arial" w:hAnsi="Arial"/>
                <w:b w:val="0"/>
                <w:color w:val="000000"/>
                <w:sz w:val="16"/>
              </w:rPr>
              <w:t>17089</w:t>
            </w:r>
          </w:p>
        </w:tc>
        <w:tc>
          <w:tcPr>
            <w:tcW w:type="dxa" w:w="3168"/>
            <w:vAlign w:val="center"/>
          </w:tcPr>
          <w:p>
            <w:r/>
            <w:r>
              <w:rPr>
                <w:rFonts w:ascii="Arial" w:hAnsi="Arial"/>
                <w:b w:val="0"/>
                <w:color w:val="000000"/>
                <w:sz w:val="16"/>
              </w:rPr>
              <w:t>Central</w:t>
            </w:r>
          </w:p>
        </w:tc>
      </w:tr>
      <w:tr>
        <w:tc>
          <w:tcPr>
            <w:tcW w:type="dxa" w:w="3168"/>
            <w:vAlign w:val="center"/>
          </w:tcPr>
          <w:p>
            <w:r/>
            <w:r>
              <w:rPr>
                <w:rFonts w:ascii="Arial" w:hAnsi="Arial"/>
                <w:b w:val="0"/>
                <w:color w:val="000000"/>
                <w:sz w:val="16"/>
              </w:rPr>
              <w:t>Kendall</w:t>
            </w:r>
          </w:p>
        </w:tc>
        <w:tc>
          <w:tcPr>
            <w:tcW w:type="dxa" w:w="1584"/>
            <w:vAlign w:val="center"/>
          </w:tcPr>
          <w:p>
            <w:r/>
            <w:r>
              <w:rPr>
                <w:rFonts w:ascii="Arial" w:hAnsi="Arial"/>
                <w:b w:val="0"/>
                <w:color w:val="000000"/>
                <w:sz w:val="16"/>
              </w:rPr>
              <w:t>IL</w:t>
            </w:r>
          </w:p>
        </w:tc>
        <w:tc>
          <w:tcPr>
            <w:tcW w:type="dxa" w:w="2160"/>
            <w:vAlign w:val="center"/>
          </w:tcPr>
          <w:p>
            <w:r/>
            <w:r>
              <w:rPr>
                <w:rFonts w:ascii="Arial" w:hAnsi="Arial"/>
                <w:b w:val="0"/>
                <w:color w:val="000000"/>
                <w:sz w:val="16"/>
              </w:rPr>
              <w:t>17093</w:t>
            </w:r>
          </w:p>
        </w:tc>
        <w:tc>
          <w:tcPr>
            <w:tcW w:type="dxa" w:w="3168"/>
            <w:vAlign w:val="center"/>
          </w:tcPr>
          <w:p>
            <w:r/>
            <w:r>
              <w:rPr>
                <w:rFonts w:ascii="Arial" w:hAnsi="Arial"/>
                <w:b w:val="0"/>
                <w:color w:val="000000"/>
                <w:sz w:val="16"/>
              </w:rPr>
              <w:t>Central</w:t>
            </w:r>
          </w:p>
        </w:tc>
      </w:tr>
      <w:tr>
        <w:tc>
          <w:tcPr>
            <w:tcW w:type="dxa" w:w="3168"/>
            <w:vAlign w:val="center"/>
          </w:tcPr>
          <w:p>
            <w:r/>
            <w:r>
              <w:rPr>
                <w:rFonts w:ascii="Arial" w:hAnsi="Arial"/>
                <w:b w:val="0"/>
                <w:color w:val="000000"/>
                <w:sz w:val="16"/>
              </w:rPr>
              <w:t>Lake</w:t>
            </w:r>
          </w:p>
        </w:tc>
        <w:tc>
          <w:tcPr>
            <w:tcW w:type="dxa" w:w="1584"/>
            <w:vAlign w:val="center"/>
          </w:tcPr>
          <w:p>
            <w:r/>
            <w:r>
              <w:rPr>
                <w:rFonts w:ascii="Arial" w:hAnsi="Arial"/>
                <w:b w:val="0"/>
                <w:color w:val="000000"/>
                <w:sz w:val="16"/>
              </w:rPr>
              <w:t>IL</w:t>
            </w:r>
          </w:p>
        </w:tc>
        <w:tc>
          <w:tcPr>
            <w:tcW w:type="dxa" w:w="2160"/>
            <w:vAlign w:val="center"/>
          </w:tcPr>
          <w:p>
            <w:r/>
            <w:r>
              <w:rPr>
                <w:rFonts w:ascii="Arial" w:hAnsi="Arial"/>
                <w:b w:val="0"/>
                <w:color w:val="000000"/>
                <w:sz w:val="16"/>
              </w:rPr>
              <w:t>17097</w:t>
            </w:r>
          </w:p>
        </w:tc>
        <w:tc>
          <w:tcPr>
            <w:tcW w:type="dxa" w:w="3168"/>
            <w:vAlign w:val="center"/>
          </w:tcPr>
          <w:p>
            <w:r/>
            <w:r>
              <w:rPr>
                <w:rFonts w:ascii="Arial" w:hAnsi="Arial"/>
                <w:b w:val="0"/>
                <w:color w:val="000000"/>
                <w:sz w:val="16"/>
              </w:rPr>
              <w:t>Central</w:t>
            </w:r>
          </w:p>
        </w:tc>
      </w:tr>
      <w:tr>
        <w:tc>
          <w:tcPr>
            <w:tcW w:type="dxa" w:w="3168"/>
            <w:vAlign w:val="center"/>
          </w:tcPr>
          <w:p>
            <w:r/>
            <w:r>
              <w:rPr>
                <w:rFonts w:ascii="Arial" w:hAnsi="Arial"/>
                <w:b w:val="0"/>
                <w:color w:val="000000"/>
                <w:sz w:val="16"/>
              </w:rPr>
              <w:t>Jasper</w:t>
            </w:r>
          </w:p>
        </w:tc>
        <w:tc>
          <w:tcPr>
            <w:tcW w:type="dxa" w:w="1584"/>
            <w:vAlign w:val="center"/>
          </w:tcPr>
          <w:p>
            <w:r/>
            <w:r>
              <w:rPr>
                <w:rFonts w:ascii="Arial" w:hAnsi="Arial"/>
                <w:b w:val="0"/>
                <w:color w:val="000000"/>
                <w:sz w:val="16"/>
              </w:rPr>
              <w:t>IN</w:t>
            </w:r>
          </w:p>
        </w:tc>
        <w:tc>
          <w:tcPr>
            <w:tcW w:type="dxa" w:w="2160"/>
            <w:vAlign w:val="center"/>
          </w:tcPr>
          <w:p>
            <w:r/>
            <w:r>
              <w:rPr>
                <w:rFonts w:ascii="Arial" w:hAnsi="Arial"/>
                <w:b w:val="0"/>
                <w:color w:val="000000"/>
                <w:sz w:val="16"/>
              </w:rPr>
              <w:t>18073</w:t>
            </w:r>
          </w:p>
        </w:tc>
        <w:tc>
          <w:tcPr>
            <w:tcW w:type="dxa" w:w="3168"/>
            <w:vAlign w:val="center"/>
          </w:tcPr>
          <w:p>
            <w:r/>
            <w:r>
              <w:rPr>
                <w:rFonts w:ascii="Arial" w:hAnsi="Arial"/>
                <w:b w:val="0"/>
                <w:color w:val="000000"/>
                <w:sz w:val="16"/>
              </w:rPr>
              <w:t>Outlying</w:t>
            </w:r>
          </w:p>
        </w:tc>
      </w:tr>
      <w:tr>
        <w:tc>
          <w:tcPr>
            <w:tcW w:type="dxa" w:w="3168"/>
            <w:vAlign w:val="center"/>
          </w:tcPr>
          <w:p>
            <w:r/>
            <w:r>
              <w:rPr>
                <w:rFonts w:ascii="Arial" w:hAnsi="Arial"/>
                <w:b w:val="0"/>
                <w:color w:val="000000"/>
                <w:sz w:val="16"/>
              </w:rPr>
              <w:t>Lake</w:t>
            </w:r>
          </w:p>
        </w:tc>
        <w:tc>
          <w:tcPr>
            <w:tcW w:type="dxa" w:w="1584"/>
            <w:vAlign w:val="center"/>
          </w:tcPr>
          <w:p>
            <w:r/>
            <w:r>
              <w:rPr>
                <w:rFonts w:ascii="Arial" w:hAnsi="Arial"/>
                <w:b w:val="0"/>
                <w:color w:val="000000"/>
                <w:sz w:val="16"/>
              </w:rPr>
              <w:t>IN</w:t>
            </w:r>
          </w:p>
        </w:tc>
        <w:tc>
          <w:tcPr>
            <w:tcW w:type="dxa" w:w="2160"/>
            <w:vAlign w:val="center"/>
          </w:tcPr>
          <w:p>
            <w:r/>
            <w:r>
              <w:rPr>
                <w:rFonts w:ascii="Arial" w:hAnsi="Arial"/>
                <w:b w:val="0"/>
                <w:color w:val="000000"/>
                <w:sz w:val="16"/>
              </w:rPr>
              <w:t>18089</w:t>
            </w:r>
          </w:p>
        </w:tc>
        <w:tc>
          <w:tcPr>
            <w:tcW w:type="dxa" w:w="3168"/>
            <w:vAlign w:val="center"/>
          </w:tcPr>
          <w:p>
            <w:r/>
            <w:r>
              <w:rPr>
                <w:rFonts w:ascii="Arial" w:hAnsi="Arial"/>
                <w:b w:val="0"/>
                <w:color w:val="000000"/>
                <w:sz w:val="16"/>
              </w:rPr>
              <w:t>Central</w:t>
            </w:r>
          </w:p>
        </w:tc>
      </w:tr>
      <w:tr>
        <w:tc>
          <w:tcPr>
            <w:tcW w:type="dxa" w:w="3168"/>
            <w:vAlign w:val="center"/>
          </w:tcPr>
          <w:p>
            <w:r/>
            <w:r>
              <w:rPr>
                <w:rFonts w:ascii="Arial" w:hAnsi="Arial"/>
                <w:b w:val="0"/>
                <w:color w:val="000000"/>
                <w:sz w:val="16"/>
              </w:rPr>
              <w:t>Newton</w:t>
            </w:r>
          </w:p>
        </w:tc>
        <w:tc>
          <w:tcPr>
            <w:tcW w:type="dxa" w:w="1584"/>
            <w:vAlign w:val="center"/>
          </w:tcPr>
          <w:p>
            <w:r/>
            <w:r>
              <w:rPr>
                <w:rFonts w:ascii="Arial" w:hAnsi="Arial"/>
                <w:b w:val="0"/>
                <w:color w:val="000000"/>
                <w:sz w:val="16"/>
              </w:rPr>
              <w:t>IN</w:t>
            </w:r>
          </w:p>
        </w:tc>
        <w:tc>
          <w:tcPr>
            <w:tcW w:type="dxa" w:w="2160"/>
            <w:vAlign w:val="center"/>
          </w:tcPr>
          <w:p>
            <w:r/>
            <w:r>
              <w:rPr>
                <w:rFonts w:ascii="Arial" w:hAnsi="Arial"/>
                <w:b w:val="0"/>
                <w:color w:val="000000"/>
                <w:sz w:val="16"/>
              </w:rPr>
              <w:t>18111</w:t>
            </w:r>
          </w:p>
        </w:tc>
        <w:tc>
          <w:tcPr>
            <w:tcW w:type="dxa" w:w="3168"/>
            <w:vAlign w:val="center"/>
          </w:tcPr>
          <w:p>
            <w:r/>
            <w:r>
              <w:rPr>
                <w:rFonts w:ascii="Arial" w:hAnsi="Arial"/>
                <w:b w:val="0"/>
                <w:color w:val="000000"/>
                <w:sz w:val="16"/>
              </w:rPr>
              <w:t>Outlying</w:t>
            </w:r>
          </w:p>
        </w:tc>
      </w:tr>
      <w:tr>
        <w:tc>
          <w:tcPr>
            <w:tcW w:type="dxa" w:w="3168"/>
            <w:vAlign w:val="center"/>
          </w:tcPr>
          <w:p>
            <w:r/>
            <w:r>
              <w:rPr>
                <w:rFonts w:ascii="Arial" w:hAnsi="Arial"/>
                <w:b w:val="0"/>
                <w:color w:val="000000"/>
                <w:sz w:val="16"/>
              </w:rPr>
              <w:t>Porter</w:t>
            </w:r>
          </w:p>
        </w:tc>
        <w:tc>
          <w:tcPr>
            <w:tcW w:type="dxa" w:w="1584"/>
            <w:vAlign w:val="center"/>
          </w:tcPr>
          <w:p>
            <w:r/>
            <w:r>
              <w:rPr>
                <w:rFonts w:ascii="Arial" w:hAnsi="Arial"/>
                <w:b w:val="0"/>
                <w:color w:val="000000"/>
                <w:sz w:val="16"/>
              </w:rPr>
              <w:t>IN</w:t>
            </w:r>
          </w:p>
        </w:tc>
        <w:tc>
          <w:tcPr>
            <w:tcW w:type="dxa" w:w="2160"/>
            <w:vAlign w:val="center"/>
          </w:tcPr>
          <w:p>
            <w:r/>
            <w:r>
              <w:rPr>
                <w:rFonts w:ascii="Arial" w:hAnsi="Arial"/>
                <w:b w:val="0"/>
                <w:color w:val="000000"/>
                <w:sz w:val="16"/>
              </w:rPr>
              <w:t>18127</w:t>
            </w:r>
          </w:p>
        </w:tc>
        <w:tc>
          <w:tcPr>
            <w:tcW w:type="dxa" w:w="3168"/>
            <w:vAlign w:val="center"/>
          </w:tcPr>
          <w:p>
            <w:r/>
            <w:r>
              <w:rPr>
                <w:rFonts w:ascii="Arial" w:hAnsi="Arial"/>
                <w:b w:val="0"/>
                <w:color w:val="000000"/>
                <w:sz w:val="16"/>
              </w:rPr>
              <w:t>Central</w:t>
            </w:r>
          </w:p>
        </w:tc>
      </w:tr>
    </w:tbl>
    <w:p/>
    <w:p>
      <w:pPr>
        <w:pStyle w:val="Heading1"/>
      </w:pPr>
      <w:r>
        <w:t>4. County access findings</w:t>
      </w:r>
    </w:p>
    <w:p>
      <w:r>
        <w:t>County access is uneven. Production work may use official bulk downloads or stable APIs. Interactive sites are not automatically scraped when terms prohibit extraction or when bulk authorization is unclear. Those counties remain visible in the source matrix with a specific acquisition action.</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000000"/>
            <w:vAlign w:val="center"/>
          </w:tcPr>
          <w:p>
            <w:r/>
            <w:r>
              <w:rPr>
                <w:rFonts w:ascii="Arial" w:hAnsi="Arial"/>
                <w:b/>
                <w:color w:val="FFFFFF"/>
                <w:sz w:val="16"/>
              </w:rPr>
              <w:t>County</w:t>
            </w:r>
          </w:p>
        </w:tc>
        <w:tc>
          <w:tcPr>
            <w:tcW w:type="dxa" w:w="2448"/>
            <w:shd w:fill="000000"/>
            <w:vAlign w:val="center"/>
          </w:tcPr>
          <w:p>
            <w:r/>
            <w:r>
              <w:rPr>
                <w:rFonts w:ascii="Arial" w:hAnsi="Arial"/>
                <w:b/>
                <w:color w:val="FFFFFF"/>
                <w:sz w:val="16"/>
              </w:rPr>
              <w:t>Status</w:t>
            </w:r>
          </w:p>
        </w:tc>
        <w:tc>
          <w:tcPr>
            <w:tcW w:type="dxa" w:w="6912"/>
            <w:shd w:fill="000000"/>
            <w:vAlign w:val="center"/>
          </w:tcPr>
          <w:p>
            <w:r/>
            <w:r>
              <w:rPr>
                <w:rFonts w:ascii="Arial" w:hAnsi="Arial"/>
                <w:b/>
                <w:color w:val="FFFFFF"/>
                <w:sz w:val="16"/>
              </w:rPr>
              <w:t>Finding</w:t>
            </w:r>
          </w:p>
        </w:tc>
      </w:tr>
      <w:tr>
        <w:tc>
          <w:tcPr>
            <w:tcW w:type="dxa" w:w="2160"/>
            <w:vAlign w:val="center"/>
          </w:tcPr>
          <w:p>
            <w:r/>
            <w:r>
              <w:rPr>
                <w:rFonts w:ascii="Arial" w:hAnsi="Arial"/>
                <w:b w:val="0"/>
                <w:color w:val="000000"/>
                <w:sz w:val="16"/>
              </w:rPr>
              <w:t>Cook IL</w:t>
            </w:r>
          </w:p>
        </w:tc>
        <w:tc>
          <w:tcPr>
            <w:tcW w:type="dxa" w:w="2448"/>
            <w:vAlign w:val="center"/>
          </w:tcPr>
          <w:p>
            <w:r/>
            <w:r>
              <w:rPr>
                <w:rFonts w:ascii="Arial" w:hAnsi="Arial"/>
                <w:b w:val="0"/>
                <w:color w:val="000000"/>
                <w:sz w:val="16"/>
              </w:rPr>
              <w:t>Executed</w:t>
            </w:r>
          </w:p>
        </w:tc>
        <w:tc>
          <w:tcPr>
            <w:tcW w:type="dxa" w:w="6912"/>
            <w:vAlign w:val="center"/>
          </w:tcPr>
          <w:p>
            <w:r/>
            <w:r>
              <w:rPr>
                <w:rFonts w:ascii="Arial" w:hAnsi="Arial"/>
                <w:b w:val="0"/>
                <w:color w:val="000000"/>
                <w:sz w:val="16"/>
              </w:rPr>
              <w:t>Official Socrata API includes owner name, owner mailing address, situs and parcel ID. Publisher warns that owner/mailing fields are intermittently updated.</w:t>
            </w:r>
          </w:p>
        </w:tc>
      </w:tr>
      <w:tr>
        <w:tc>
          <w:tcPr>
            <w:tcW w:type="dxa" w:w="2160"/>
            <w:vAlign w:val="center"/>
          </w:tcPr>
          <w:p>
            <w:r/>
            <w:r>
              <w:rPr>
                <w:rFonts w:ascii="Arial" w:hAnsi="Arial"/>
                <w:b w:val="0"/>
                <w:color w:val="000000"/>
                <w:sz w:val="16"/>
              </w:rPr>
              <w:t>Kendall IL</w:t>
            </w:r>
          </w:p>
        </w:tc>
        <w:tc>
          <w:tcPr>
            <w:tcW w:type="dxa" w:w="2448"/>
            <w:vAlign w:val="center"/>
          </w:tcPr>
          <w:p>
            <w:r/>
            <w:r>
              <w:rPr>
                <w:rFonts w:ascii="Arial" w:hAnsi="Arial"/>
                <w:b w:val="0"/>
                <w:color w:val="000000"/>
                <w:sz w:val="16"/>
              </w:rPr>
              <w:t>Executed</w:t>
            </w:r>
          </w:p>
        </w:tc>
        <w:tc>
          <w:tcPr>
            <w:tcW w:type="dxa" w:w="6912"/>
            <w:vAlign w:val="center"/>
          </w:tcPr>
          <w:p>
            <w:r/>
            <w:r>
              <w:rPr>
                <w:rFonts w:ascii="Arial" w:hAnsi="Arial"/>
                <w:b w:val="0"/>
                <w:color w:val="000000"/>
                <w:sz w:val="16"/>
              </w:rPr>
              <w:t>Official live ArcGIS service exposes owner_name, owner_addr1/2, owner_csz, PIN and situs fields. Snapshot date is retained because the layer has no explicit tax year.</w:t>
            </w:r>
          </w:p>
        </w:tc>
      </w:tr>
      <w:tr>
        <w:tc>
          <w:tcPr>
            <w:tcW w:type="dxa" w:w="2160"/>
            <w:vAlign w:val="center"/>
          </w:tcPr>
          <w:p>
            <w:r/>
            <w:r>
              <w:rPr>
                <w:rFonts w:ascii="Arial" w:hAnsi="Arial"/>
                <w:b w:val="0"/>
                <w:color w:val="000000"/>
                <w:sz w:val="16"/>
              </w:rPr>
              <w:t>DuPage IL</w:t>
            </w:r>
          </w:p>
        </w:tc>
        <w:tc>
          <w:tcPr>
            <w:tcW w:type="dxa" w:w="2448"/>
            <w:vAlign w:val="center"/>
          </w:tcPr>
          <w:p>
            <w:r/>
            <w:r>
              <w:rPr>
                <w:rFonts w:ascii="Arial" w:hAnsi="Arial"/>
                <w:b w:val="0"/>
                <w:color w:val="000000"/>
                <w:sz w:val="16"/>
              </w:rPr>
              <w:t>Verified lead</w:t>
            </w:r>
          </w:p>
        </w:tc>
        <w:tc>
          <w:tcPr>
            <w:tcW w:type="dxa" w:w="6912"/>
            <w:vAlign w:val="center"/>
          </w:tcPr>
          <w:p>
            <w:r/>
            <w:r>
              <w:rPr>
                <w:rFonts w:ascii="Arial" w:hAnsi="Arial"/>
                <w:b w:val="0"/>
                <w:color w:val="000000"/>
                <w:sz w:val="16"/>
              </w:rPr>
              <w:t>Official ArcGIS parcel service exists; full real-estate database with billing fields is offered by purchase. Exact REST field coverage remains to be tested.</w:t>
            </w:r>
          </w:p>
        </w:tc>
      </w:tr>
      <w:tr>
        <w:tc>
          <w:tcPr>
            <w:tcW w:type="dxa" w:w="2160"/>
            <w:vAlign w:val="center"/>
          </w:tcPr>
          <w:p>
            <w:r/>
            <w:r>
              <w:rPr>
                <w:rFonts w:ascii="Arial" w:hAnsi="Arial"/>
                <w:b w:val="0"/>
                <w:color w:val="000000"/>
                <w:sz w:val="16"/>
              </w:rPr>
              <w:t>Lake IL</w:t>
            </w:r>
          </w:p>
        </w:tc>
        <w:tc>
          <w:tcPr>
            <w:tcW w:type="dxa" w:w="2448"/>
            <w:vAlign w:val="center"/>
          </w:tcPr>
          <w:p>
            <w:r/>
            <w:r>
              <w:rPr>
                <w:rFonts w:ascii="Arial" w:hAnsi="Arial"/>
                <w:b w:val="0"/>
                <w:color w:val="000000"/>
                <w:sz w:val="16"/>
              </w:rPr>
              <w:t>Blocked for automated extraction</w:t>
            </w:r>
          </w:p>
        </w:tc>
        <w:tc>
          <w:tcPr>
            <w:tcW w:type="dxa" w:w="6912"/>
            <w:vAlign w:val="center"/>
          </w:tcPr>
          <w:p>
            <w:r/>
            <w:r>
              <w:rPr>
                <w:rFonts w:ascii="Arial" w:hAnsi="Arial"/>
                <w:b w:val="0"/>
                <w:color w:val="000000"/>
                <w:sz w:val="16"/>
              </w:rPr>
              <w:t>The official tax-search site expressly prohibits mining/gathering/extraction. Use an authorized bulk request or FOIA route.</w:t>
            </w:r>
          </w:p>
        </w:tc>
      </w:tr>
      <w:tr>
        <w:tc>
          <w:tcPr>
            <w:tcW w:type="dxa" w:w="2160"/>
            <w:vAlign w:val="center"/>
          </w:tcPr>
          <w:p>
            <w:r/>
            <w:r>
              <w:rPr>
                <w:rFonts w:ascii="Arial" w:hAnsi="Arial"/>
                <w:b w:val="0"/>
                <w:color w:val="000000"/>
                <w:sz w:val="16"/>
              </w:rPr>
              <w:t>Kane IL</w:t>
            </w:r>
          </w:p>
        </w:tc>
        <w:tc>
          <w:tcPr>
            <w:tcW w:type="dxa" w:w="2448"/>
            <w:vAlign w:val="center"/>
          </w:tcPr>
          <w:p>
            <w:r/>
            <w:r>
              <w:rPr>
                <w:rFonts w:ascii="Arial" w:hAnsi="Arial"/>
                <w:b w:val="0"/>
                <w:color w:val="000000"/>
                <w:sz w:val="16"/>
              </w:rPr>
              <w:t>Blocked pending acquisition</w:t>
            </w:r>
          </w:p>
        </w:tc>
        <w:tc>
          <w:tcPr>
            <w:tcW w:type="dxa" w:w="6912"/>
            <w:vAlign w:val="center"/>
          </w:tcPr>
          <w:p>
            <w:r/>
            <w:r>
              <w:rPr>
                <w:rFonts w:ascii="Arial" w:hAnsi="Arial"/>
                <w:b w:val="0"/>
                <w:color w:val="000000"/>
                <w:sz w:val="16"/>
              </w:rPr>
              <w:t>County states that it has no open-data sharing policy and that GIS data can be acquired for a fee.</w:t>
            </w:r>
          </w:p>
        </w:tc>
      </w:tr>
      <w:tr>
        <w:tc>
          <w:tcPr>
            <w:tcW w:type="dxa" w:w="2160"/>
            <w:vAlign w:val="center"/>
          </w:tcPr>
          <w:p>
            <w:r/>
            <w:r>
              <w:rPr>
                <w:rFonts w:ascii="Arial" w:hAnsi="Arial"/>
                <w:b w:val="0"/>
                <w:color w:val="000000"/>
                <w:sz w:val="16"/>
              </w:rPr>
              <w:t>Will IL</w:t>
            </w:r>
          </w:p>
        </w:tc>
        <w:tc>
          <w:tcPr>
            <w:tcW w:type="dxa" w:w="2448"/>
            <w:vAlign w:val="center"/>
          </w:tcPr>
          <w:p>
            <w:r/>
            <w:r>
              <w:rPr>
                <w:rFonts w:ascii="Arial" w:hAnsi="Arial"/>
                <w:b w:val="0"/>
                <w:color w:val="000000"/>
                <w:sz w:val="16"/>
              </w:rPr>
              <w:t>Partial</w:t>
            </w:r>
          </w:p>
        </w:tc>
        <w:tc>
          <w:tcPr>
            <w:tcW w:type="dxa" w:w="6912"/>
            <w:vAlign w:val="center"/>
          </w:tcPr>
          <w:p>
            <w:r/>
            <w:r>
              <w:rPr>
                <w:rFonts w:ascii="Arial" w:hAnsi="Arial"/>
                <w:b w:val="0"/>
                <w:color w:val="000000"/>
                <w:sz w:val="16"/>
              </w:rPr>
              <w:t>Official parcel shapefile download is available; owner-mailing fields are not yet verified.</w:t>
            </w:r>
          </w:p>
        </w:tc>
      </w:tr>
      <w:tr>
        <w:tc>
          <w:tcPr>
            <w:tcW w:type="dxa" w:w="2160"/>
            <w:vAlign w:val="center"/>
          </w:tcPr>
          <w:p>
            <w:r/>
            <w:r>
              <w:rPr>
                <w:rFonts w:ascii="Arial" w:hAnsi="Arial"/>
                <w:b w:val="0"/>
                <w:color w:val="000000"/>
                <w:sz w:val="16"/>
              </w:rPr>
              <w:t>McHenry / DeKalb IL</w:t>
            </w:r>
          </w:p>
        </w:tc>
        <w:tc>
          <w:tcPr>
            <w:tcW w:type="dxa" w:w="2448"/>
            <w:vAlign w:val="center"/>
          </w:tcPr>
          <w:p>
            <w:r/>
            <w:r>
              <w:rPr>
                <w:rFonts w:ascii="Arial" w:hAnsi="Arial"/>
                <w:b w:val="0"/>
                <w:color w:val="000000"/>
                <w:sz w:val="16"/>
              </w:rPr>
              <w:t>Access test needed</w:t>
            </w:r>
          </w:p>
        </w:tc>
        <w:tc>
          <w:tcPr>
            <w:tcW w:type="dxa" w:w="6912"/>
            <w:vAlign w:val="center"/>
          </w:tcPr>
          <w:p>
            <w:r/>
            <w:r>
              <w:rPr>
                <w:rFonts w:ascii="Arial" w:hAnsi="Arial"/>
                <w:b w:val="0"/>
                <w:color w:val="000000"/>
                <w:sz w:val="16"/>
              </w:rPr>
              <w:t>Official interactive systems expose owner/assessment information; bulk endpoints and terms must be verified.</w:t>
            </w:r>
          </w:p>
        </w:tc>
      </w:tr>
      <w:tr>
        <w:tc>
          <w:tcPr>
            <w:tcW w:type="dxa" w:w="2160"/>
            <w:vAlign w:val="center"/>
          </w:tcPr>
          <w:p>
            <w:r/>
            <w:r>
              <w:rPr>
                <w:rFonts w:ascii="Arial" w:hAnsi="Arial"/>
                <w:b w:val="0"/>
                <w:color w:val="000000"/>
                <w:sz w:val="16"/>
              </w:rPr>
              <w:t>Grundy IL</w:t>
            </w:r>
          </w:p>
        </w:tc>
        <w:tc>
          <w:tcPr>
            <w:tcW w:type="dxa" w:w="2448"/>
            <w:vAlign w:val="center"/>
          </w:tcPr>
          <w:p>
            <w:r/>
            <w:r>
              <w:rPr>
                <w:rFonts w:ascii="Arial" w:hAnsi="Arial"/>
                <w:b w:val="0"/>
                <w:color w:val="000000"/>
                <w:sz w:val="16"/>
              </w:rPr>
              <w:t>Discovery pending</w:t>
            </w:r>
          </w:p>
        </w:tc>
        <w:tc>
          <w:tcPr>
            <w:tcW w:type="dxa" w:w="6912"/>
            <w:vAlign w:val="center"/>
          </w:tcPr>
          <w:p>
            <w:r/>
            <w:r>
              <w:rPr>
                <w:rFonts w:ascii="Arial" w:hAnsi="Arial"/>
                <w:b w:val="0"/>
                <w:color w:val="000000"/>
                <w:sz w:val="16"/>
              </w:rPr>
              <w:t>Official bulk owner-mail source has not yet been verified.</w:t>
            </w:r>
          </w:p>
        </w:tc>
      </w:tr>
      <w:tr>
        <w:tc>
          <w:tcPr>
            <w:tcW w:type="dxa" w:w="2160"/>
            <w:vAlign w:val="center"/>
          </w:tcPr>
          <w:p>
            <w:r/>
            <w:r>
              <w:rPr>
                <w:rFonts w:ascii="Arial" w:hAnsi="Arial"/>
                <w:b w:val="0"/>
                <w:color w:val="000000"/>
                <w:sz w:val="16"/>
              </w:rPr>
              <w:t>Porter IN</w:t>
            </w:r>
          </w:p>
        </w:tc>
        <w:tc>
          <w:tcPr>
            <w:tcW w:type="dxa" w:w="2448"/>
            <w:vAlign w:val="center"/>
          </w:tcPr>
          <w:p>
            <w:r/>
            <w:r>
              <w:rPr>
                <w:rFonts w:ascii="Arial" w:hAnsi="Arial"/>
                <w:b w:val="0"/>
                <w:color w:val="000000"/>
                <w:sz w:val="16"/>
              </w:rPr>
              <w:t>Freshness blocked</w:t>
            </w:r>
          </w:p>
        </w:tc>
        <w:tc>
          <w:tcPr>
            <w:tcW w:type="dxa" w:w="6912"/>
            <w:vAlign w:val="center"/>
          </w:tcPr>
          <w:p>
            <w:r/>
            <w:r>
              <w:rPr>
                <w:rFonts w:ascii="Arial" w:hAnsi="Arial"/>
                <w:b w:val="0"/>
                <w:color w:val="000000"/>
                <w:sz w:val="16"/>
              </w:rPr>
              <w:t>A public ArcGIS owner-mail layer exists but its name indicates a 2022 vintage, which is not current enough for a mailing campaign.</w:t>
            </w:r>
          </w:p>
        </w:tc>
      </w:tr>
      <w:tr>
        <w:tc>
          <w:tcPr>
            <w:tcW w:type="dxa" w:w="2160"/>
            <w:vAlign w:val="center"/>
          </w:tcPr>
          <w:p>
            <w:r/>
            <w:r>
              <w:rPr>
                <w:rFonts w:ascii="Arial" w:hAnsi="Arial"/>
                <w:b w:val="0"/>
                <w:color w:val="000000"/>
                <w:sz w:val="16"/>
              </w:rPr>
              <w:t>Lake / Jasper / Newton IN</w:t>
            </w:r>
          </w:p>
        </w:tc>
        <w:tc>
          <w:tcPr>
            <w:tcW w:type="dxa" w:w="2448"/>
            <w:vAlign w:val="center"/>
          </w:tcPr>
          <w:p>
            <w:r/>
            <w:r>
              <w:rPr>
                <w:rFonts w:ascii="Arial" w:hAnsi="Arial"/>
                <w:b w:val="0"/>
                <w:color w:val="000000"/>
                <w:sz w:val="16"/>
              </w:rPr>
              <w:t>Discovery pending</w:t>
            </w:r>
          </w:p>
        </w:tc>
        <w:tc>
          <w:tcPr>
            <w:tcW w:type="dxa" w:w="6912"/>
            <w:vAlign w:val="center"/>
          </w:tcPr>
          <w:p>
            <w:r/>
            <w:r>
              <w:rPr>
                <w:rFonts w:ascii="Arial" w:hAnsi="Arial"/>
                <w:b w:val="0"/>
                <w:color w:val="000000"/>
                <w:sz w:val="16"/>
              </w:rPr>
              <w:t>Official parcel/GIS routes exist; current bulk owner-mail schemas and terms remain to be verified.</w:t>
            </w:r>
          </w:p>
        </w:tc>
      </w:tr>
    </w:tbl>
    <w:p/>
    <w:p>
      <w:pPr>
        <w:pStyle w:val="Heading1"/>
      </w:pPr>
      <w:r>
        <w:t>5. Cook County adapter</w:t>
      </w:r>
    </w:p>
    <w:p>
      <w:r>
        <w:t>Official dataset: Cook County Assessor — Parcel Addresses (Socrata dataset 3723-97qp). The source was checked on August 28, 2026 and reported tax year 2026 as its latest year.</w:t>
      </w:r>
    </w:p>
    <w:tbl>
      <w:tblPr>
        <w:tblStyle w:val="TableGrid"/>
        <w:tblW w:type="auto" w:w="0"/>
        <w:jc w:val="center"/>
        <w:tblLook w:firstColumn="1" w:firstRow="1" w:lastColumn="0" w:lastRow="0" w:noHBand="0" w:noVBand="1" w:val="04A0"/>
      </w:tblPr>
      <w:tblGrid>
        <w:gridCol w:w="3408"/>
        <w:gridCol w:w="3408"/>
        <w:gridCol w:w="3408"/>
      </w:tblGrid>
      <w:tr>
        <w:tc>
          <w:tcPr>
            <w:tcW w:type="dxa" w:w="3456"/>
            <w:shd w:fill="000000"/>
            <w:vAlign w:val="center"/>
          </w:tcPr>
          <w:p>
            <w:r/>
            <w:r>
              <w:rPr>
                <w:rFonts w:ascii="Arial" w:hAnsi="Arial"/>
                <w:b/>
                <w:color w:val="FFFFFF"/>
                <w:sz w:val="16"/>
              </w:rPr>
              <w:t>Source field</w:t>
            </w:r>
          </w:p>
        </w:tc>
        <w:tc>
          <w:tcPr>
            <w:tcW w:type="dxa" w:w="3168"/>
            <w:shd w:fill="000000"/>
            <w:vAlign w:val="center"/>
          </w:tcPr>
          <w:p>
            <w:r/>
            <w:r>
              <w:rPr>
                <w:rFonts w:ascii="Arial" w:hAnsi="Arial"/>
                <w:b/>
                <w:color w:val="FFFFFF"/>
                <w:sz w:val="16"/>
              </w:rPr>
              <w:t>Canonical use</w:t>
            </w:r>
          </w:p>
        </w:tc>
        <w:tc>
          <w:tcPr>
            <w:tcW w:type="dxa" w:w="4896"/>
            <w:shd w:fill="000000"/>
            <w:vAlign w:val="center"/>
          </w:tcPr>
          <w:p>
            <w:r/>
            <w:r>
              <w:rPr>
                <w:rFonts w:ascii="Arial" w:hAnsi="Arial"/>
                <w:b/>
                <w:color w:val="FFFFFF"/>
                <w:sz w:val="16"/>
              </w:rPr>
              <w:t>Control</w:t>
            </w:r>
          </w:p>
        </w:tc>
      </w:tr>
      <w:tr>
        <w:tc>
          <w:tcPr>
            <w:tcW w:type="dxa" w:w="3456"/>
            <w:vAlign w:val="center"/>
          </w:tcPr>
          <w:p>
            <w:r/>
            <w:r>
              <w:rPr>
                <w:rFonts w:ascii="Arial" w:hAnsi="Arial"/>
                <w:b w:val="0"/>
                <w:color w:val="000000"/>
                <w:sz w:val="16"/>
              </w:rPr>
              <w:t>pin</w:t>
            </w:r>
          </w:p>
        </w:tc>
        <w:tc>
          <w:tcPr>
            <w:tcW w:type="dxa" w:w="3168"/>
            <w:vAlign w:val="center"/>
          </w:tcPr>
          <w:p>
            <w:r/>
            <w:r>
              <w:rPr>
                <w:rFonts w:ascii="Arial" w:hAnsi="Arial"/>
                <w:b w:val="0"/>
                <w:color w:val="000000"/>
                <w:sz w:val="16"/>
              </w:rPr>
              <w:t>parcel_id</w:t>
            </w:r>
          </w:p>
        </w:tc>
        <w:tc>
          <w:tcPr>
            <w:tcW w:type="dxa" w:w="4896"/>
            <w:vAlign w:val="center"/>
          </w:tcPr>
          <w:p>
            <w:r/>
            <w:r>
              <w:rPr>
                <w:rFonts w:ascii="Arial" w:hAnsi="Arial"/>
                <w:b w:val="0"/>
                <w:color w:val="000000"/>
                <w:sz w:val="16"/>
              </w:rPr>
              <w:t>14-digit parcel identifier</w:t>
            </w:r>
          </w:p>
        </w:tc>
      </w:tr>
      <w:tr>
        <w:tc>
          <w:tcPr>
            <w:tcW w:type="dxa" w:w="3456"/>
            <w:vAlign w:val="center"/>
          </w:tcPr>
          <w:p>
            <w:r/>
            <w:r>
              <w:rPr>
                <w:rFonts w:ascii="Arial" w:hAnsi="Arial"/>
                <w:b w:val="0"/>
                <w:color w:val="000000"/>
                <w:sz w:val="16"/>
              </w:rPr>
              <w:t>owner_address_name</w:t>
            </w:r>
          </w:p>
        </w:tc>
        <w:tc>
          <w:tcPr>
            <w:tcW w:type="dxa" w:w="3168"/>
            <w:vAlign w:val="center"/>
          </w:tcPr>
          <w:p>
            <w:r/>
            <w:r>
              <w:rPr>
                <w:rFonts w:ascii="Arial" w:hAnsi="Arial"/>
                <w:b w:val="0"/>
                <w:color w:val="000000"/>
                <w:sz w:val="16"/>
              </w:rPr>
              <w:t>legal_owner_raw</w:t>
            </w:r>
          </w:p>
        </w:tc>
        <w:tc>
          <w:tcPr>
            <w:tcW w:type="dxa" w:w="4896"/>
            <w:vAlign w:val="center"/>
          </w:tcPr>
          <w:p>
            <w:r/>
            <w:r>
              <w:rPr>
                <w:rFonts w:ascii="Arial" w:hAnsi="Arial"/>
                <w:b w:val="0"/>
                <w:color w:val="000000"/>
                <w:sz w:val="16"/>
              </w:rPr>
              <w:t>Owner mailing name; LLC-suffix filter source</w:t>
            </w:r>
          </w:p>
        </w:tc>
      </w:tr>
      <w:tr>
        <w:tc>
          <w:tcPr>
            <w:tcW w:type="dxa" w:w="3456"/>
            <w:vAlign w:val="center"/>
          </w:tcPr>
          <w:p>
            <w:r/>
            <w:r>
              <w:rPr>
                <w:rFonts w:ascii="Arial" w:hAnsi="Arial"/>
                <w:b w:val="0"/>
                <w:color w:val="000000"/>
                <w:sz w:val="16"/>
              </w:rPr>
              <w:t>owner_address_full/city/state/zip</w:t>
            </w:r>
          </w:p>
        </w:tc>
        <w:tc>
          <w:tcPr>
            <w:tcW w:type="dxa" w:w="3168"/>
            <w:vAlign w:val="center"/>
          </w:tcPr>
          <w:p>
            <w:r/>
            <w:r>
              <w:rPr>
                <w:rFonts w:ascii="Arial" w:hAnsi="Arial"/>
                <w:b w:val="0"/>
                <w:color w:val="000000"/>
                <w:sz w:val="16"/>
              </w:rPr>
              <w:t>owner mailing fields</w:t>
            </w:r>
          </w:p>
        </w:tc>
        <w:tc>
          <w:tcPr>
            <w:tcW w:type="dxa" w:w="4896"/>
            <w:vAlign w:val="center"/>
          </w:tcPr>
          <w:p>
            <w:r/>
            <w:r>
              <w:rPr>
                <w:rFonts w:ascii="Arial" w:hAnsi="Arial"/>
                <w:b w:val="0"/>
                <w:color w:val="000000"/>
                <w:sz w:val="16"/>
              </w:rPr>
              <w:t>Exclusive portfolio grouping source</w:t>
            </w:r>
          </w:p>
        </w:tc>
      </w:tr>
      <w:tr>
        <w:tc>
          <w:tcPr>
            <w:tcW w:type="dxa" w:w="3456"/>
            <w:vAlign w:val="center"/>
          </w:tcPr>
          <w:p>
            <w:r/>
            <w:r>
              <w:rPr>
                <w:rFonts w:ascii="Arial" w:hAnsi="Arial"/>
                <w:b w:val="0"/>
                <w:color w:val="000000"/>
                <w:sz w:val="16"/>
              </w:rPr>
              <w:t>prop_address_*</w:t>
            </w:r>
          </w:p>
        </w:tc>
        <w:tc>
          <w:tcPr>
            <w:tcW w:type="dxa" w:w="3168"/>
            <w:vAlign w:val="center"/>
          </w:tcPr>
          <w:p>
            <w:r/>
            <w:r>
              <w:rPr>
                <w:rFonts w:ascii="Arial" w:hAnsi="Arial"/>
                <w:b w:val="0"/>
                <w:color w:val="000000"/>
                <w:sz w:val="16"/>
              </w:rPr>
              <w:t>property address fields</w:t>
            </w:r>
          </w:p>
        </w:tc>
        <w:tc>
          <w:tcPr>
            <w:tcW w:type="dxa" w:w="4896"/>
            <w:vAlign w:val="center"/>
          </w:tcPr>
          <w:p>
            <w:r/>
            <w:r>
              <w:rPr>
                <w:rFonts w:ascii="Arial" w:hAnsi="Arial"/>
                <w:b w:val="0"/>
                <w:color w:val="000000"/>
                <w:sz w:val="16"/>
              </w:rPr>
              <w:t>Evidence and future mapping only</w:t>
            </w:r>
          </w:p>
        </w:tc>
      </w:tr>
      <w:tr>
        <w:tc>
          <w:tcPr>
            <w:tcW w:type="dxa" w:w="3456"/>
            <w:vAlign w:val="center"/>
          </w:tcPr>
          <w:p>
            <w:r/>
            <w:r>
              <w:rPr>
                <w:rFonts w:ascii="Arial" w:hAnsi="Arial"/>
                <w:b w:val="0"/>
                <w:color w:val="000000"/>
                <w:sz w:val="16"/>
              </w:rPr>
              <w:t>row_id</w:t>
            </w:r>
          </w:p>
        </w:tc>
        <w:tc>
          <w:tcPr>
            <w:tcW w:type="dxa" w:w="3168"/>
            <w:vAlign w:val="center"/>
          </w:tcPr>
          <w:p>
            <w:r/>
            <w:r>
              <w:rPr>
                <w:rFonts w:ascii="Arial" w:hAnsi="Arial"/>
                <w:b w:val="0"/>
                <w:color w:val="000000"/>
                <w:sz w:val="16"/>
              </w:rPr>
              <w:t>source_row_id</w:t>
            </w:r>
          </w:p>
        </w:tc>
        <w:tc>
          <w:tcPr>
            <w:tcW w:type="dxa" w:w="4896"/>
            <w:vAlign w:val="center"/>
          </w:tcPr>
          <w:p>
            <w:r/>
            <w:r>
              <w:rPr>
                <w:rFonts w:ascii="Arial" w:hAnsi="Arial"/>
                <w:b w:val="0"/>
                <w:color w:val="000000"/>
                <w:sz w:val="16"/>
              </w:rPr>
              <w:t>Audit lineage</w:t>
            </w:r>
          </w:p>
        </w:tc>
      </w:tr>
    </w:tbl>
    <w:p/>
    <w:p>
      <w:r>
        <w:t>The first run downloaded 71,356 source rows matching a server-side *LLC suffix query. After local normalization and removal of one record with no usable owner mailing street, 71,355 parcel rows remained. Grouping them by normalized owner mailing address produced 3,505 clusters meeting both thresholds.</w:t>
      </w:r>
    </w:p>
    <w:tbl>
      <w:tblPr>
        <w:tblStyle w:val="TableGrid"/>
        <w:tblW w:type="auto" w:w="0"/>
        <w:jc w:val="center"/>
        <w:tblLook w:firstColumn="1" w:firstRow="1" w:lastColumn="0" w:lastRow="0" w:noHBand="0" w:noVBand="1" w:val="04A0"/>
      </w:tblPr>
      <w:tblGrid>
        <w:gridCol w:w="3408"/>
        <w:gridCol w:w="3408"/>
        <w:gridCol w:w="3408"/>
      </w:tblGrid>
      <w:tr>
        <w:tc>
          <w:tcPr>
            <w:tcW w:type="dxa" w:w="3600"/>
            <w:shd w:fill="000000"/>
            <w:vAlign w:val="center"/>
          </w:tcPr>
          <w:p>
            <w:r/>
            <w:r>
              <w:rPr>
                <w:rFonts w:ascii="Arial" w:hAnsi="Arial"/>
                <w:b/>
                <w:color w:val="FFFFFF"/>
                <w:sz w:val="16"/>
              </w:rPr>
              <w:t>Metric</w:t>
            </w:r>
          </w:p>
        </w:tc>
        <w:tc>
          <w:tcPr>
            <w:tcW w:type="dxa" w:w="2160"/>
            <w:shd w:fill="000000"/>
            <w:vAlign w:val="center"/>
          </w:tcPr>
          <w:p>
            <w:r/>
            <w:r>
              <w:rPr>
                <w:rFonts w:ascii="Arial" w:hAnsi="Arial"/>
                <w:b/>
                <w:color w:val="FFFFFF"/>
                <w:sz w:val="16"/>
              </w:rPr>
              <w:t>Result</w:t>
            </w:r>
          </w:p>
        </w:tc>
        <w:tc>
          <w:tcPr>
            <w:tcW w:type="dxa" w:w="5760"/>
            <w:shd w:fill="000000"/>
            <w:vAlign w:val="center"/>
          </w:tcPr>
          <w:p>
            <w:r/>
            <w:r>
              <w:rPr>
                <w:rFonts w:ascii="Arial" w:hAnsi="Arial"/>
                <w:b/>
                <w:color w:val="FFFFFF"/>
                <w:sz w:val="16"/>
              </w:rPr>
              <w:t>Interpretation</w:t>
            </w:r>
          </w:p>
        </w:tc>
      </w:tr>
      <w:tr>
        <w:tc>
          <w:tcPr>
            <w:tcW w:type="dxa" w:w="3600"/>
            <w:vAlign w:val="center"/>
          </w:tcPr>
          <w:p>
            <w:r/>
            <w:r>
              <w:rPr>
                <w:rFonts w:ascii="Arial" w:hAnsi="Arial"/>
                <w:b w:val="0"/>
                <w:color w:val="000000"/>
                <w:sz w:val="16"/>
              </w:rPr>
              <w:t>Source year</w:t>
            </w:r>
          </w:p>
        </w:tc>
        <w:tc>
          <w:tcPr>
            <w:tcW w:type="dxa" w:w="2160"/>
            <w:vAlign w:val="center"/>
          </w:tcPr>
          <w:p>
            <w:r/>
            <w:r>
              <w:rPr>
                <w:rFonts w:ascii="Arial" w:hAnsi="Arial"/>
                <w:b w:val="0"/>
                <w:color w:val="000000"/>
                <w:sz w:val="16"/>
              </w:rPr>
              <w:t>2026</w:t>
            </w:r>
          </w:p>
        </w:tc>
        <w:tc>
          <w:tcPr>
            <w:tcW w:type="dxa" w:w="5760"/>
            <w:vAlign w:val="center"/>
          </w:tcPr>
          <w:p>
            <w:r/>
            <w:r>
              <w:rPr>
                <w:rFonts w:ascii="Arial" w:hAnsi="Arial"/>
                <w:b w:val="0"/>
                <w:color w:val="000000"/>
                <w:sz w:val="16"/>
              </w:rPr>
              <w:t>Latest published year returned by the API</w:t>
            </w:r>
          </w:p>
        </w:tc>
      </w:tr>
      <w:tr>
        <w:tc>
          <w:tcPr>
            <w:tcW w:type="dxa" w:w="3600"/>
            <w:vAlign w:val="center"/>
          </w:tcPr>
          <w:p>
            <w:r/>
            <w:r>
              <w:rPr>
                <w:rFonts w:ascii="Arial" w:hAnsi="Arial"/>
                <w:b w:val="0"/>
                <w:color w:val="000000"/>
                <w:sz w:val="16"/>
              </w:rPr>
              <w:t>Eligible LLC parcel rows</w:t>
            </w:r>
          </w:p>
        </w:tc>
        <w:tc>
          <w:tcPr>
            <w:tcW w:type="dxa" w:w="2160"/>
            <w:vAlign w:val="center"/>
          </w:tcPr>
          <w:p>
            <w:r/>
            <w:r>
              <w:rPr>
                <w:rFonts w:ascii="Arial" w:hAnsi="Arial"/>
                <w:b w:val="0"/>
                <w:color w:val="000000"/>
                <w:sz w:val="16"/>
              </w:rPr>
              <w:t>71,355</w:t>
            </w:r>
          </w:p>
        </w:tc>
        <w:tc>
          <w:tcPr>
            <w:tcW w:type="dxa" w:w="5760"/>
            <w:vAlign w:val="center"/>
          </w:tcPr>
          <w:p>
            <w:r/>
            <w:r>
              <w:rPr>
                <w:rFonts w:ascii="Arial" w:hAnsi="Arial"/>
                <w:b w:val="0"/>
                <w:color w:val="000000"/>
                <w:sz w:val="16"/>
              </w:rPr>
              <w:t>All property classes; one source row per parcel</w:t>
            </w:r>
          </w:p>
        </w:tc>
      </w:tr>
      <w:tr>
        <w:tc>
          <w:tcPr>
            <w:tcW w:type="dxa" w:w="3600"/>
            <w:vAlign w:val="center"/>
          </w:tcPr>
          <w:p>
            <w:r/>
            <w:r>
              <w:rPr>
                <w:rFonts w:ascii="Arial" w:hAnsi="Arial"/>
                <w:b w:val="0"/>
                <w:color w:val="000000"/>
                <w:sz w:val="16"/>
              </w:rPr>
              <w:t>Qualifying address clusters</w:t>
            </w:r>
          </w:p>
        </w:tc>
        <w:tc>
          <w:tcPr>
            <w:tcW w:type="dxa" w:w="2160"/>
            <w:vAlign w:val="center"/>
          </w:tcPr>
          <w:p>
            <w:r/>
            <w:r>
              <w:rPr>
                <w:rFonts w:ascii="Arial" w:hAnsi="Arial"/>
                <w:b w:val="0"/>
                <w:color w:val="000000"/>
                <w:sz w:val="16"/>
              </w:rPr>
              <w:t>3,505</w:t>
            </w:r>
          </w:p>
        </w:tc>
        <w:tc>
          <w:tcPr>
            <w:tcW w:type="dxa" w:w="5760"/>
            <w:vAlign w:val="center"/>
          </w:tcPr>
          <w:p>
            <w:r/>
            <w:r>
              <w:rPr>
                <w:rFonts w:ascii="Arial" w:hAnsi="Arial"/>
                <w:b w:val="0"/>
                <w:color w:val="000000"/>
                <w:sz w:val="16"/>
              </w:rPr>
              <w:t>2+ distinct LLCs and 2+ distinct parcels</w:t>
            </w:r>
          </w:p>
        </w:tc>
      </w:tr>
      <w:tr>
        <w:tc>
          <w:tcPr>
            <w:tcW w:type="dxa" w:w="3600"/>
            <w:vAlign w:val="center"/>
          </w:tcPr>
          <w:p>
            <w:r/>
            <w:r>
              <w:rPr>
                <w:rFonts w:ascii="Arial" w:hAnsi="Arial"/>
                <w:b w:val="0"/>
                <w:color w:val="000000"/>
                <w:sz w:val="16"/>
              </w:rPr>
              <w:t>Largest raw cluster</w:t>
            </w:r>
          </w:p>
        </w:tc>
        <w:tc>
          <w:tcPr>
            <w:tcW w:type="dxa" w:w="2160"/>
            <w:vAlign w:val="center"/>
          </w:tcPr>
          <w:p>
            <w:r/>
            <w:r>
              <w:rPr>
                <w:rFonts w:ascii="Arial" w:hAnsi="Arial"/>
                <w:b w:val="0"/>
                <w:color w:val="000000"/>
                <w:sz w:val="16"/>
              </w:rPr>
              <w:t>70 LLCs</w:t>
            </w:r>
          </w:p>
        </w:tc>
        <w:tc>
          <w:tcPr>
            <w:tcW w:type="dxa" w:w="5760"/>
            <w:vAlign w:val="center"/>
          </w:tcPr>
          <w:p>
            <w:r/>
            <w:r>
              <w:rPr>
                <w:rFonts w:ascii="Arial" w:hAnsi="Arial"/>
                <w:b w:val="0"/>
                <w:color w:val="000000"/>
                <w:sz w:val="16"/>
              </w:rPr>
              <w:t>High-collision addresses require heightened service-provider review</w:t>
            </w:r>
          </w:p>
        </w:tc>
      </w:tr>
      <w:tr>
        <w:tc>
          <w:tcPr>
            <w:tcW w:type="dxa" w:w="3600"/>
            <w:vAlign w:val="center"/>
          </w:tcPr>
          <w:p>
            <w:r/>
            <w:r>
              <w:rPr>
                <w:rFonts w:ascii="Arial" w:hAnsi="Arial"/>
                <w:b w:val="0"/>
                <w:color w:val="000000"/>
                <w:sz w:val="16"/>
              </w:rPr>
              <w:t>Mail-ready rows</w:t>
            </w:r>
          </w:p>
        </w:tc>
        <w:tc>
          <w:tcPr>
            <w:tcW w:type="dxa" w:w="2160"/>
            <w:vAlign w:val="center"/>
          </w:tcPr>
          <w:p>
            <w:r/>
            <w:r>
              <w:rPr>
                <w:rFonts w:ascii="Arial" w:hAnsi="Arial"/>
                <w:b w:val="0"/>
                <w:color w:val="000000"/>
                <w:sz w:val="16"/>
              </w:rPr>
              <w:t>0</w:t>
            </w:r>
          </w:p>
        </w:tc>
        <w:tc>
          <w:tcPr>
            <w:tcW w:type="dxa" w:w="5760"/>
            <w:vAlign w:val="center"/>
          </w:tcPr>
          <w:p>
            <w:r/>
            <w:r>
              <w:rPr>
                <w:rFonts w:ascii="Arial" w:hAnsi="Arial"/>
                <w:b w:val="0"/>
                <w:color w:val="000000"/>
                <w:sz w:val="16"/>
              </w:rPr>
              <w:t>Service-provider and USPS gates have not yet been run</w:t>
            </w:r>
          </w:p>
        </w:tc>
      </w:tr>
    </w:tbl>
    <w:p/>
    <w:p>
      <w:pPr>
        <w:pStyle w:val="Heading1"/>
      </w:pPr>
      <w:r>
        <w:t>6. Kendall County adapter and partial-market merge</w:t>
      </w:r>
    </w:p>
    <w:p>
      <w:r>
        <w:t>The official Kendall County live cadastral FeatureServer was queried on August 28, 2026. The service returned 5,045 owner names ending in LLC; 5,043 rows retained a usable owner mailing street. County-level grouping produced 110 qualifying address clusters.</w:t>
      </w:r>
    </w:p>
    <w:p>
      <w:r>
        <w:t>Cook and Kendall parcel evidence was then regrouped together by the same normalized owner mailing address. The partial MSA contains 3,627 qualifying clusters, including 25 addresses that link qualifying parcel evidence across both counties. This is partial coverage only; it is not represented as a completed 13-county market.</w:t>
      </w:r>
    </w:p>
    <w:tbl>
      <w:tblPr>
        <w:tblStyle w:val="TableGrid"/>
        <w:tblW w:type="auto" w:w="0"/>
        <w:jc w:val="center"/>
        <w:tblLook w:firstColumn="1" w:firstRow="1" w:lastColumn="0" w:lastRow="0" w:noHBand="0" w:noVBand="1" w:val="04A0"/>
      </w:tblPr>
      <w:tblGrid>
        <w:gridCol w:w="3408"/>
        <w:gridCol w:w="3408"/>
        <w:gridCol w:w="3408"/>
      </w:tblGrid>
      <w:tr>
        <w:tc>
          <w:tcPr>
            <w:tcW w:type="dxa" w:w="4032"/>
            <w:shd w:fill="000000"/>
            <w:vAlign w:val="center"/>
          </w:tcPr>
          <w:p>
            <w:r/>
            <w:r>
              <w:rPr>
                <w:rFonts w:ascii="Arial" w:hAnsi="Arial"/>
                <w:b/>
                <w:color w:val="FFFFFF"/>
                <w:sz w:val="16"/>
              </w:rPr>
              <w:t>Metric</w:t>
            </w:r>
          </w:p>
        </w:tc>
        <w:tc>
          <w:tcPr>
            <w:tcW w:type="dxa" w:w="2160"/>
            <w:shd w:fill="000000"/>
            <w:vAlign w:val="center"/>
          </w:tcPr>
          <w:p>
            <w:r/>
            <w:r>
              <w:rPr>
                <w:rFonts w:ascii="Arial" w:hAnsi="Arial"/>
                <w:b/>
                <w:color w:val="FFFFFF"/>
                <w:sz w:val="16"/>
              </w:rPr>
              <w:t>Result</w:t>
            </w:r>
          </w:p>
        </w:tc>
        <w:tc>
          <w:tcPr>
            <w:tcW w:type="dxa" w:w="5328"/>
            <w:shd w:fill="000000"/>
            <w:vAlign w:val="center"/>
          </w:tcPr>
          <w:p>
            <w:r/>
            <w:r>
              <w:rPr>
                <w:rFonts w:ascii="Arial" w:hAnsi="Arial"/>
                <w:b/>
                <w:color w:val="FFFFFF"/>
                <w:sz w:val="16"/>
              </w:rPr>
              <w:t>Control</w:t>
            </w:r>
          </w:p>
        </w:tc>
      </w:tr>
      <w:tr>
        <w:tc>
          <w:tcPr>
            <w:tcW w:type="dxa" w:w="4032"/>
            <w:vAlign w:val="center"/>
          </w:tcPr>
          <w:p>
            <w:r/>
            <w:r>
              <w:rPr>
                <w:rFonts w:ascii="Arial" w:hAnsi="Arial"/>
                <w:b w:val="0"/>
                <w:color w:val="000000"/>
                <w:sz w:val="16"/>
              </w:rPr>
              <w:t>Kendall LLC parcels</w:t>
            </w:r>
          </w:p>
        </w:tc>
        <w:tc>
          <w:tcPr>
            <w:tcW w:type="dxa" w:w="2160"/>
            <w:vAlign w:val="center"/>
          </w:tcPr>
          <w:p>
            <w:r/>
            <w:r>
              <w:rPr>
                <w:rFonts w:ascii="Arial" w:hAnsi="Arial"/>
                <w:b w:val="0"/>
                <w:color w:val="000000"/>
                <w:sz w:val="16"/>
              </w:rPr>
              <w:t>5,043</w:t>
            </w:r>
          </w:p>
        </w:tc>
        <w:tc>
          <w:tcPr>
            <w:tcW w:type="dxa" w:w="5328"/>
            <w:vAlign w:val="center"/>
          </w:tcPr>
          <w:p>
            <w:r/>
            <w:r>
              <w:rPr>
                <w:rFonts w:ascii="Arial" w:hAnsi="Arial"/>
                <w:b w:val="0"/>
                <w:color w:val="000000"/>
                <w:sz w:val="16"/>
              </w:rPr>
              <w:t>All parcel classes; live-source snapshot retained</w:t>
            </w:r>
          </w:p>
        </w:tc>
      </w:tr>
      <w:tr>
        <w:tc>
          <w:tcPr>
            <w:tcW w:type="dxa" w:w="4032"/>
            <w:vAlign w:val="center"/>
          </w:tcPr>
          <w:p>
            <w:r/>
            <w:r>
              <w:rPr>
                <w:rFonts w:ascii="Arial" w:hAnsi="Arial"/>
                <w:b w:val="0"/>
                <w:color w:val="000000"/>
                <w:sz w:val="16"/>
              </w:rPr>
              <w:t>Kendall county clusters</w:t>
            </w:r>
          </w:p>
        </w:tc>
        <w:tc>
          <w:tcPr>
            <w:tcW w:type="dxa" w:w="2160"/>
            <w:vAlign w:val="center"/>
          </w:tcPr>
          <w:p>
            <w:r/>
            <w:r>
              <w:rPr>
                <w:rFonts w:ascii="Arial" w:hAnsi="Arial"/>
                <w:b w:val="0"/>
                <w:color w:val="000000"/>
                <w:sz w:val="16"/>
              </w:rPr>
              <w:t>110</w:t>
            </w:r>
          </w:p>
        </w:tc>
        <w:tc>
          <w:tcPr>
            <w:tcW w:type="dxa" w:w="5328"/>
            <w:vAlign w:val="center"/>
          </w:tcPr>
          <w:p>
            <w:r/>
            <w:r>
              <w:rPr>
                <w:rFonts w:ascii="Arial" w:hAnsi="Arial"/>
                <w:b w:val="0"/>
                <w:color w:val="000000"/>
                <w:sz w:val="16"/>
              </w:rPr>
              <w:t>2+ distinct LLCs and 2+ distinct parcels</w:t>
            </w:r>
          </w:p>
        </w:tc>
      </w:tr>
      <w:tr>
        <w:tc>
          <w:tcPr>
            <w:tcW w:type="dxa" w:w="4032"/>
            <w:vAlign w:val="center"/>
          </w:tcPr>
          <w:p>
            <w:r/>
            <w:r>
              <w:rPr>
                <w:rFonts w:ascii="Arial" w:hAnsi="Arial"/>
                <w:b w:val="0"/>
                <w:color w:val="000000"/>
                <w:sz w:val="16"/>
              </w:rPr>
              <w:t>Cook + Kendall partial-MSA clusters</w:t>
            </w:r>
          </w:p>
        </w:tc>
        <w:tc>
          <w:tcPr>
            <w:tcW w:type="dxa" w:w="2160"/>
            <w:vAlign w:val="center"/>
          </w:tcPr>
          <w:p>
            <w:r/>
            <w:r>
              <w:rPr>
                <w:rFonts w:ascii="Arial" w:hAnsi="Arial"/>
                <w:b w:val="0"/>
                <w:color w:val="000000"/>
                <w:sz w:val="16"/>
              </w:rPr>
              <w:t>3,627</w:t>
            </w:r>
          </w:p>
        </w:tc>
        <w:tc>
          <w:tcPr>
            <w:tcW w:type="dxa" w:w="5328"/>
            <w:vAlign w:val="center"/>
          </w:tcPr>
          <w:p>
            <w:r/>
            <w:r>
              <w:rPr>
                <w:rFonts w:ascii="Arial" w:hAnsi="Arial"/>
                <w:b w:val="0"/>
                <w:color w:val="000000"/>
                <w:sz w:val="16"/>
              </w:rPr>
              <w:t>Re-grouped across completed county adapters</w:t>
            </w:r>
          </w:p>
        </w:tc>
      </w:tr>
      <w:tr>
        <w:tc>
          <w:tcPr>
            <w:tcW w:type="dxa" w:w="4032"/>
            <w:vAlign w:val="center"/>
          </w:tcPr>
          <w:p>
            <w:r/>
            <w:r>
              <w:rPr>
                <w:rFonts w:ascii="Arial" w:hAnsi="Arial"/>
                <w:b w:val="0"/>
                <w:color w:val="000000"/>
                <w:sz w:val="16"/>
              </w:rPr>
              <w:t>Cross-county clusters</w:t>
            </w:r>
          </w:p>
        </w:tc>
        <w:tc>
          <w:tcPr>
            <w:tcW w:type="dxa" w:w="2160"/>
            <w:vAlign w:val="center"/>
          </w:tcPr>
          <w:p>
            <w:r/>
            <w:r>
              <w:rPr>
                <w:rFonts w:ascii="Arial" w:hAnsi="Arial"/>
                <w:b w:val="0"/>
                <w:color w:val="000000"/>
                <w:sz w:val="16"/>
              </w:rPr>
              <w:t>25</w:t>
            </w:r>
          </w:p>
        </w:tc>
        <w:tc>
          <w:tcPr>
            <w:tcW w:type="dxa" w:w="5328"/>
            <w:vAlign w:val="center"/>
          </w:tcPr>
          <w:p>
            <w:r/>
            <w:r>
              <w:rPr>
                <w:rFonts w:ascii="Arial" w:hAnsi="Arial"/>
                <w:b w:val="0"/>
                <w:color w:val="000000"/>
                <w:sz w:val="16"/>
              </w:rPr>
              <w:t>Same normalized owner-mail address appears in both counties</w:t>
            </w:r>
          </w:p>
        </w:tc>
      </w:tr>
      <w:tr>
        <w:tc>
          <w:tcPr>
            <w:tcW w:type="dxa" w:w="4032"/>
            <w:vAlign w:val="center"/>
          </w:tcPr>
          <w:p>
            <w:r/>
            <w:r>
              <w:rPr>
                <w:rFonts w:ascii="Arial" w:hAnsi="Arial"/>
                <w:b w:val="0"/>
                <w:color w:val="000000"/>
                <w:sz w:val="16"/>
              </w:rPr>
              <w:t>Mail-ready rows</w:t>
            </w:r>
          </w:p>
        </w:tc>
        <w:tc>
          <w:tcPr>
            <w:tcW w:type="dxa" w:w="2160"/>
            <w:vAlign w:val="center"/>
          </w:tcPr>
          <w:p>
            <w:r/>
            <w:r>
              <w:rPr>
                <w:rFonts w:ascii="Arial" w:hAnsi="Arial"/>
                <w:b w:val="0"/>
                <w:color w:val="000000"/>
                <w:sz w:val="16"/>
              </w:rPr>
              <w:t>0</w:t>
            </w:r>
          </w:p>
        </w:tc>
        <w:tc>
          <w:tcPr>
            <w:tcW w:type="dxa" w:w="5328"/>
            <w:vAlign w:val="center"/>
          </w:tcPr>
          <w:p>
            <w:r/>
            <w:r>
              <w:rPr>
                <w:rFonts w:ascii="Arial" w:hAnsi="Arial"/>
                <w:b w:val="0"/>
                <w:color w:val="000000"/>
                <w:sz w:val="16"/>
              </w:rPr>
              <w:t>Professional/service-provider and USPS gates not complete</w:t>
            </w:r>
          </w:p>
        </w:tc>
      </w:tr>
    </w:tbl>
    <w:p/>
    <w:p>
      <w:pPr>
        <w:pStyle w:val="Heading1"/>
      </w:pPr>
      <w:r>
        <w:t>7. File map</w:t>
      </w:r>
    </w:p>
    <w:tbl>
      <w:tblPr>
        <w:tblStyle w:val="TableGrid"/>
        <w:tblW w:type="auto" w:w="0"/>
        <w:jc w:val="center"/>
        <w:tblLook w:firstColumn="1" w:firstRow="1" w:lastColumn="0" w:lastRow="0" w:noHBand="0" w:noVBand="1" w:val="04A0"/>
      </w:tblPr>
      <w:tblGrid>
        <w:gridCol w:w="3408"/>
        <w:gridCol w:w="3408"/>
        <w:gridCol w:w="3408"/>
      </w:tblGrid>
      <w:tr>
        <w:tc>
          <w:tcPr>
            <w:tcW w:type="dxa" w:w="3168"/>
            <w:shd w:fill="000000"/>
            <w:vAlign w:val="center"/>
          </w:tcPr>
          <w:p>
            <w:r/>
            <w:r>
              <w:rPr>
                <w:rFonts w:ascii="Arial" w:hAnsi="Arial"/>
                <w:b/>
                <w:color w:val="FFFFFF"/>
                <w:sz w:val="16"/>
              </w:rPr>
              <w:t>Folder</w:t>
            </w:r>
          </w:p>
        </w:tc>
        <w:tc>
          <w:tcPr>
            <w:tcW w:type="dxa" w:w="5184"/>
            <w:shd w:fill="000000"/>
            <w:vAlign w:val="center"/>
          </w:tcPr>
          <w:p>
            <w:r/>
            <w:r>
              <w:rPr>
                <w:rFonts w:ascii="Arial" w:hAnsi="Arial"/>
                <w:b/>
                <w:color w:val="FFFFFF"/>
                <w:sz w:val="16"/>
              </w:rPr>
              <w:t>File</w:t>
            </w:r>
          </w:p>
        </w:tc>
        <w:tc>
          <w:tcPr>
            <w:tcW w:type="dxa" w:w="3168"/>
            <w:shd w:fill="000000"/>
            <w:vAlign w:val="center"/>
          </w:tcPr>
          <w:p>
            <w:r/>
            <w:r>
              <w:rPr>
                <w:rFonts w:ascii="Arial" w:hAnsi="Arial"/>
                <w:b/>
                <w:color w:val="FFFFFF"/>
                <w:sz w:val="16"/>
              </w:rPr>
              <w:t>Purpose</w:t>
            </w:r>
          </w:p>
        </w:tc>
      </w:tr>
      <w:tr>
        <w:tc>
          <w:tcPr>
            <w:tcW w:type="dxa" w:w="3168"/>
            <w:vAlign w:val="center"/>
          </w:tcPr>
          <w:p>
            <w:r/>
            <w:r>
              <w:rPr>
                <w:rFonts w:ascii="Arial" w:hAnsi="Arial"/>
                <w:b w:val="0"/>
                <w:color w:val="000000"/>
                <w:sz w:val="16"/>
              </w:rPr>
              <w:t>00_MARKET_ADAPTER</w:t>
            </w:r>
          </w:p>
        </w:tc>
        <w:tc>
          <w:tcPr>
            <w:tcW w:type="dxa" w:w="5184"/>
            <w:vAlign w:val="center"/>
          </w:tcPr>
          <w:p>
            <w:r/>
            <w:r>
              <w:rPr>
                <w:rFonts w:ascii="Arial" w:hAnsi="Arial"/>
                <w:b w:val="0"/>
                <w:color w:val="000000"/>
                <w:sz w:val="16"/>
              </w:rPr>
              <w:t>Chicago_MSA_Market_Adapter_and_Execution_Status.docx</w:t>
            </w:r>
          </w:p>
        </w:tc>
        <w:tc>
          <w:tcPr>
            <w:tcW w:type="dxa" w:w="3168"/>
            <w:vAlign w:val="center"/>
          </w:tcPr>
          <w:p>
            <w:r/>
            <w:r>
              <w:rPr>
                <w:rFonts w:ascii="Arial" w:hAnsi="Arial"/>
                <w:b w:val="0"/>
                <w:color w:val="000000"/>
                <w:sz w:val="16"/>
              </w:rPr>
              <w:t>This control document</w:t>
            </w:r>
          </w:p>
        </w:tc>
      </w:tr>
      <w:tr>
        <w:tc>
          <w:tcPr>
            <w:tcW w:type="dxa" w:w="3168"/>
            <w:vAlign w:val="center"/>
          </w:tcPr>
          <w:p>
            <w:r/>
            <w:r>
              <w:rPr>
                <w:rFonts w:ascii="Arial" w:hAnsi="Arial"/>
                <w:b w:val="0"/>
                <w:color w:val="000000"/>
                <w:sz w:val="16"/>
              </w:rPr>
              <w:t>01_FINAL_OUTPUTS</w:t>
            </w:r>
          </w:p>
        </w:tc>
        <w:tc>
          <w:tcPr>
            <w:tcW w:type="dxa" w:w="5184"/>
            <w:vAlign w:val="center"/>
          </w:tcPr>
          <w:p>
            <w:r/>
            <w:r>
              <w:rPr>
                <w:rFonts w:ascii="Arial" w:hAnsi="Arial"/>
                <w:b w:val="0"/>
                <w:color w:val="000000"/>
                <w:sz w:val="16"/>
              </w:rPr>
              <w:t>cook_2026_candidate_mailing_addresses_RESEARCH_ONLY.csv</w:t>
            </w:r>
          </w:p>
        </w:tc>
        <w:tc>
          <w:tcPr>
            <w:tcW w:type="dxa" w:w="3168"/>
            <w:vAlign w:val="center"/>
          </w:tcPr>
          <w:p>
            <w:r/>
            <w:r>
              <w:rPr>
                <w:rFonts w:ascii="Arial" w:hAnsi="Arial"/>
                <w:b w:val="0"/>
                <w:color w:val="000000"/>
                <w:sz w:val="16"/>
              </w:rPr>
              <w:t>Candidate address clusters; explicitly not printable</w:t>
            </w:r>
          </w:p>
        </w:tc>
      </w:tr>
      <w:tr>
        <w:tc>
          <w:tcPr>
            <w:tcW w:type="dxa" w:w="3168"/>
            <w:vAlign w:val="center"/>
          </w:tcPr>
          <w:p>
            <w:r/>
            <w:r>
              <w:rPr>
                <w:rFonts w:ascii="Arial" w:hAnsi="Arial"/>
                <w:b w:val="0"/>
                <w:color w:val="000000"/>
                <w:sz w:val="16"/>
              </w:rPr>
              <w:t>02_SOURCE_DATA/00_BOUNDARY_REFERENCE</w:t>
            </w:r>
          </w:p>
        </w:tc>
        <w:tc>
          <w:tcPr>
            <w:tcW w:type="dxa" w:w="5184"/>
            <w:vAlign w:val="center"/>
          </w:tcPr>
          <w:p>
            <w:r/>
            <w:r>
              <w:rPr>
                <w:rFonts w:ascii="Arial" w:hAnsi="Arial"/>
                <w:b w:val="0"/>
                <w:color w:val="000000"/>
                <w:sz w:val="16"/>
              </w:rPr>
              <w:t>list1_2023.xlsx</w:t>
            </w:r>
          </w:p>
        </w:tc>
        <w:tc>
          <w:tcPr>
            <w:tcW w:type="dxa" w:w="3168"/>
            <w:vAlign w:val="center"/>
          </w:tcPr>
          <w:p>
            <w:r/>
            <w:r>
              <w:rPr>
                <w:rFonts w:ascii="Arial" w:hAnsi="Arial"/>
                <w:b w:val="0"/>
                <w:color w:val="000000"/>
                <w:sz w:val="16"/>
              </w:rPr>
              <w:t>Official Census/OMB county delineation</w:t>
            </w:r>
          </w:p>
        </w:tc>
      </w:tr>
      <w:tr>
        <w:tc>
          <w:tcPr>
            <w:tcW w:type="dxa" w:w="3168"/>
            <w:vAlign w:val="center"/>
          </w:tcPr>
          <w:p>
            <w:r/>
            <w:r>
              <w:rPr>
                <w:rFonts w:ascii="Arial" w:hAnsi="Arial"/>
                <w:b w:val="0"/>
                <w:color w:val="000000"/>
                <w:sz w:val="16"/>
              </w:rPr>
              <w:t>03_PROCESSED</w:t>
            </w:r>
          </w:p>
        </w:tc>
        <w:tc>
          <w:tcPr>
            <w:tcW w:type="dxa" w:w="5184"/>
            <w:vAlign w:val="center"/>
          </w:tcPr>
          <w:p>
            <w:r/>
            <w:r>
              <w:rPr>
                <w:rFonts w:ascii="Arial" w:hAnsi="Arial"/>
                <w:b w:val="0"/>
                <w:color w:val="000000"/>
                <w:sz w:val="16"/>
              </w:rPr>
              <w:t>cook_2026_llc_parcels.csv</w:t>
            </w:r>
          </w:p>
        </w:tc>
        <w:tc>
          <w:tcPr>
            <w:tcW w:type="dxa" w:w="3168"/>
            <w:vAlign w:val="center"/>
          </w:tcPr>
          <w:p>
            <w:r/>
            <w:r>
              <w:rPr>
                <w:rFonts w:ascii="Arial" w:hAnsi="Arial"/>
                <w:b w:val="0"/>
                <w:color w:val="000000"/>
                <w:sz w:val="16"/>
              </w:rPr>
              <w:t>Parcel-level LLC evidence</w:t>
            </w:r>
          </w:p>
        </w:tc>
      </w:tr>
      <w:tr>
        <w:tc>
          <w:tcPr>
            <w:tcW w:type="dxa" w:w="3168"/>
            <w:vAlign w:val="center"/>
          </w:tcPr>
          <w:p>
            <w:r/>
            <w:r>
              <w:rPr>
                <w:rFonts w:ascii="Arial" w:hAnsi="Arial"/>
                <w:b w:val="0"/>
                <w:color w:val="000000"/>
                <w:sz w:val="16"/>
              </w:rPr>
              <w:t>03_PROCESSED</w:t>
            </w:r>
          </w:p>
        </w:tc>
        <w:tc>
          <w:tcPr>
            <w:tcW w:type="dxa" w:w="5184"/>
            <w:vAlign w:val="center"/>
          </w:tcPr>
          <w:p>
            <w:r/>
            <w:r>
              <w:rPr>
                <w:rFonts w:ascii="Arial" w:hAnsi="Arial"/>
                <w:b w:val="0"/>
                <w:color w:val="000000"/>
                <w:sz w:val="16"/>
              </w:rPr>
              <w:t>cook_2026_address_clusters.csv</w:t>
            </w:r>
          </w:p>
        </w:tc>
        <w:tc>
          <w:tcPr>
            <w:tcW w:type="dxa" w:w="3168"/>
            <w:vAlign w:val="center"/>
          </w:tcPr>
          <w:p>
            <w:r/>
            <w:r>
              <w:rPr>
                <w:rFonts w:ascii="Arial" w:hAnsi="Arial"/>
                <w:b w:val="0"/>
                <w:color w:val="000000"/>
                <w:sz w:val="16"/>
              </w:rPr>
              <w:t>Address-level clusters and counts</w:t>
            </w:r>
          </w:p>
        </w:tc>
      </w:tr>
      <w:tr>
        <w:tc>
          <w:tcPr>
            <w:tcW w:type="dxa" w:w="3168"/>
            <w:vAlign w:val="center"/>
          </w:tcPr>
          <w:p>
            <w:r/>
            <w:r>
              <w:rPr>
                <w:rFonts w:ascii="Arial" w:hAnsi="Arial"/>
                <w:b w:val="0"/>
                <w:color w:val="000000"/>
                <w:sz w:val="16"/>
              </w:rPr>
              <w:t>03_PROCESSED</w:t>
            </w:r>
          </w:p>
        </w:tc>
        <w:tc>
          <w:tcPr>
            <w:tcW w:type="dxa" w:w="5184"/>
            <w:vAlign w:val="center"/>
          </w:tcPr>
          <w:p>
            <w:r/>
            <w:r>
              <w:rPr>
                <w:rFonts w:ascii="Arial" w:hAnsi="Arial"/>
                <w:b w:val="0"/>
                <w:color w:val="000000"/>
                <w:sz w:val="16"/>
              </w:rPr>
              <w:t>kendall_20260828_llc_parcels.csv</w:t>
            </w:r>
          </w:p>
        </w:tc>
        <w:tc>
          <w:tcPr>
            <w:tcW w:type="dxa" w:w="3168"/>
            <w:vAlign w:val="center"/>
          </w:tcPr>
          <w:p>
            <w:r/>
            <w:r>
              <w:rPr>
                <w:rFonts w:ascii="Arial" w:hAnsi="Arial"/>
                <w:b w:val="0"/>
                <w:color w:val="000000"/>
                <w:sz w:val="16"/>
              </w:rPr>
              <w:t>Kendall parcel-level LLC evidence</w:t>
            </w:r>
          </w:p>
        </w:tc>
      </w:tr>
      <w:tr>
        <w:tc>
          <w:tcPr>
            <w:tcW w:type="dxa" w:w="3168"/>
            <w:vAlign w:val="center"/>
          </w:tcPr>
          <w:p>
            <w:r/>
            <w:r>
              <w:rPr>
                <w:rFonts w:ascii="Arial" w:hAnsi="Arial"/>
                <w:b w:val="0"/>
                <w:color w:val="000000"/>
                <w:sz w:val="16"/>
              </w:rPr>
              <w:t>03_PROCESSED</w:t>
            </w:r>
          </w:p>
        </w:tc>
        <w:tc>
          <w:tcPr>
            <w:tcW w:type="dxa" w:w="5184"/>
            <w:vAlign w:val="center"/>
          </w:tcPr>
          <w:p>
            <w:r/>
            <w:r>
              <w:rPr>
                <w:rFonts w:ascii="Arial" w:hAnsi="Arial"/>
                <w:b w:val="0"/>
                <w:color w:val="000000"/>
                <w:sz w:val="16"/>
              </w:rPr>
              <w:t>chicago_msa_partial_cook_kendall_20260828_address_clusters.csv</w:t>
            </w:r>
          </w:p>
        </w:tc>
        <w:tc>
          <w:tcPr>
            <w:tcW w:type="dxa" w:w="3168"/>
            <w:vAlign w:val="center"/>
          </w:tcPr>
          <w:p>
            <w:r/>
            <w:r>
              <w:rPr>
                <w:rFonts w:ascii="Arial" w:hAnsi="Arial"/>
                <w:b w:val="0"/>
                <w:color w:val="000000"/>
                <w:sz w:val="16"/>
              </w:rPr>
              <w:t>Two-county normalized address clusters</w:t>
            </w:r>
          </w:p>
        </w:tc>
      </w:tr>
      <w:tr>
        <w:tc>
          <w:tcPr>
            <w:tcW w:type="dxa" w:w="3168"/>
            <w:vAlign w:val="center"/>
          </w:tcPr>
          <w:p>
            <w:r/>
            <w:r>
              <w:rPr>
                <w:rFonts w:ascii="Arial" w:hAnsi="Arial"/>
                <w:b w:val="0"/>
                <w:color w:val="000000"/>
                <w:sz w:val="16"/>
              </w:rPr>
              <w:t>04_REPORTS_AND_WORKBOOKS</w:t>
            </w:r>
          </w:p>
        </w:tc>
        <w:tc>
          <w:tcPr>
            <w:tcW w:type="dxa" w:w="5184"/>
            <w:vAlign w:val="center"/>
          </w:tcPr>
          <w:p>
            <w:r/>
            <w:r>
              <w:rPr>
                <w:rFonts w:ascii="Arial" w:hAnsi="Arial"/>
                <w:b w:val="0"/>
                <w:color w:val="000000"/>
                <w:sz w:val="16"/>
              </w:rPr>
              <w:t>Chicago_MSA_Source_Matrix_and_Data_Dictionary.xlsx</w:t>
            </w:r>
          </w:p>
        </w:tc>
        <w:tc>
          <w:tcPr>
            <w:tcW w:type="dxa" w:w="3168"/>
            <w:vAlign w:val="center"/>
          </w:tcPr>
          <w:p>
            <w:r/>
            <w:r>
              <w:rPr>
                <w:rFonts w:ascii="Arial" w:hAnsi="Arial"/>
                <w:b w:val="0"/>
                <w:color w:val="000000"/>
                <w:sz w:val="16"/>
              </w:rPr>
              <w:t>Scope, sources, fields, output columns and status</w:t>
            </w:r>
          </w:p>
        </w:tc>
      </w:tr>
      <w:tr>
        <w:tc>
          <w:tcPr>
            <w:tcW w:type="dxa" w:w="3168"/>
            <w:vAlign w:val="center"/>
          </w:tcPr>
          <w:p>
            <w:r/>
            <w:r>
              <w:rPr>
                <w:rFonts w:ascii="Arial" w:hAnsi="Arial"/>
                <w:b w:val="0"/>
                <w:color w:val="000000"/>
                <w:sz w:val="16"/>
              </w:rPr>
              <w:t>05_PIPELINE_CODE</w:t>
            </w:r>
          </w:p>
        </w:tc>
        <w:tc>
          <w:tcPr>
            <w:tcW w:type="dxa" w:w="5184"/>
            <w:vAlign w:val="center"/>
          </w:tcPr>
          <w:p>
            <w:r/>
            <w:r>
              <w:rPr>
                <w:rFonts w:ascii="Arial" w:hAnsi="Arial"/>
                <w:b w:val="0"/>
                <w:color w:val="000000"/>
                <w:sz w:val="16"/>
              </w:rPr>
              <w:t>build_cook_llc_clusters.py</w:t>
            </w:r>
          </w:p>
        </w:tc>
        <w:tc>
          <w:tcPr>
            <w:tcW w:type="dxa" w:w="3168"/>
            <w:vAlign w:val="center"/>
          </w:tcPr>
          <w:p>
            <w:r/>
            <w:r>
              <w:rPr>
                <w:rFonts w:ascii="Arial" w:hAnsi="Arial"/>
                <w:b w:val="0"/>
                <w:color w:val="000000"/>
                <w:sz w:val="16"/>
              </w:rPr>
              <w:t>Reproducible Cook API ingestion and grouping</w:t>
            </w:r>
          </w:p>
        </w:tc>
      </w:tr>
      <w:tr>
        <w:tc>
          <w:tcPr>
            <w:tcW w:type="dxa" w:w="3168"/>
            <w:vAlign w:val="center"/>
          </w:tcPr>
          <w:p>
            <w:r/>
            <w:r>
              <w:rPr>
                <w:rFonts w:ascii="Arial" w:hAnsi="Arial"/>
                <w:b w:val="0"/>
                <w:color w:val="000000"/>
                <w:sz w:val="16"/>
              </w:rPr>
              <w:t>06_DOCUMENTATION</w:t>
            </w:r>
          </w:p>
        </w:tc>
        <w:tc>
          <w:tcPr>
            <w:tcW w:type="dxa" w:w="5184"/>
            <w:vAlign w:val="center"/>
          </w:tcPr>
          <w:p>
            <w:r/>
            <w:r>
              <w:rPr>
                <w:rFonts w:ascii="Arial" w:hAnsi="Arial"/>
                <w:b w:val="0"/>
                <w:color w:val="000000"/>
                <w:sz w:val="16"/>
              </w:rPr>
              <w:t>README_Chicago_MSA.md</w:t>
            </w:r>
          </w:p>
        </w:tc>
        <w:tc>
          <w:tcPr>
            <w:tcW w:type="dxa" w:w="3168"/>
            <w:vAlign w:val="center"/>
          </w:tcPr>
          <w:p>
            <w:r/>
            <w:r>
              <w:rPr>
                <w:rFonts w:ascii="Arial" w:hAnsi="Arial"/>
                <w:b w:val="0"/>
                <w:color w:val="000000"/>
                <w:sz w:val="16"/>
              </w:rPr>
              <w:t>Human-readable folder map and run instructions</w:t>
            </w:r>
          </w:p>
        </w:tc>
      </w:tr>
      <w:tr>
        <w:tc>
          <w:tcPr>
            <w:tcW w:type="dxa" w:w="3168"/>
            <w:vAlign w:val="center"/>
          </w:tcPr>
          <w:p>
            <w:r/>
            <w:r>
              <w:rPr>
                <w:rFonts w:ascii="Arial" w:hAnsi="Arial"/>
                <w:b w:val="0"/>
                <w:color w:val="000000"/>
                <w:sz w:val="16"/>
              </w:rPr>
              <w:t>99_SUPPORT_FILES</w:t>
            </w:r>
          </w:p>
        </w:tc>
        <w:tc>
          <w:tcPr>
            <w:tcW w:type="dxa" w:w="5184"/>
            <w:vAlign w:val="center"/>
          </w:tcPr>
          <w:p>
            <w:r/>
            <w:r>
              <w:rPr>
                <w:rFonts w:ascii="Arial" w:hAnsi="Arial"/>
                <w:b w:val="0"/>
                <w:color w:val="000000"/>
                <w:sz w:val="16"/>
              </w:rPr>
              <w:t>builders and QA renders</w:t>
            </w:r>
          </w:p>
        </w:tc>
        <w:tc>
          <w:tcPr>
            <w:tcW w:type="dxa" w:w="3168"/>
            <w:vAlign w:val="center"/>
          </w:tcPr>
          <w:p>
            <w:r/>
            <w:r>
              <w:rPr>
                <w:rFonts w:ascii="Arial" w:hAnsi="Arial"/>
                <w:b w:val="0"/>
                <w:color w:val="000000"/>
                <w:sz w:val="16"/>
              </w:rPr>
              <w:t>Supporting scripts, previews and superseded documentation</w:t>
            </w:r>
          </w:p>
        </w:tc>
      </w:tr>
    </w:tbl>
    <w:p/>
    <w:p>
      <w:pPr>
        <w:pStyle w:val="Heading1"/>
      </w:pPr>
      <w:r>
        <w:t>8. Output columns and mailing gates</w:t>
      </w:r>
    </w:p>
    <w:p>
      <w:r>
        <w:t>The parcel output preserves parcel_id, legal_owner_raw, legal_owner_normalized, owner mailing components, owner_mailing_address_key, situs components, source dataset ID and source row ID. The address-cluster output adds distinct_llc_count, property_count, LLC and parcel evidence lists, service_provider_review, usps_cass_dpv_status and mailing_status.</w:t>
      </w:r>
    </w:p>
    <w:tbl>
      <w:tblPr>
        <w:tblStyle w:val="TableGrid"/>
        <w:tblW w:type="auto" w:w="0"/>
        <w:jc w:val="center"/>
        <w:tblLook w:firstColumn="1" w:firstRow="1" w:lastColumn="0" w:lastRow="0" w:noHBand="0" w:noVBand="1" w:val="04A0"/>
      </w:tblPr>
      <w:tblGrid>
        <w:gridCol w:w="5112"/>
        <w:gridCol w:w="5112"/>
      </w:tblGrid>
      <w:tr>
        <w:tc>
          <w:tcPr>
            <w:tcW w:type="dxa" w:w="3168"/>
            <w:shd w:fill="000000"/>
            <w:vAlign w:val="center"/>
          </w:tcPr>
          <w:p>
            <w:r/>
            <w:r>
              <w:rPr>
                <w:rFonts w:ascii="Arial" w:hAnsi="Arial"/>
                <w:b/>
                <w:color w:val="FFFFFF"/>
                <w:sz w:val="16"/>
              </w:rPr>
              <w:t>Gate</w:t>
            </w:r>
          </w:p>
        </w:tc>
        <w:tc>
          <w:tcPr>
            <w:tcW w:type="dxa" w:w="8352"/>
            <w:shd w:fill="000000"/>
            <w:vAlign w:val="center"/>
          </w:tcPr>
          <w:p>
            <w:r/>
            <w:r>
              <w:rPr>
                <w:rFonts w:ascii="Arial" w:hAnsi="Arial"/>
                <w:b/>
                <w:color w:val="FFFFFF"/>
                <w:sz w:val="16"/>
              </w:rPr>
              <w:t>Requirement</w:t>
            </w:r>
          </w:p>
        </w:tc>
      </w:tr>
      <w:tr>
        <w:tc>
          <w:tcPr>
            <w:tcW w:type="dxa" w:w="3168"/>
            <w:vAlign w:val="center"/>
          </w:tcPr>
          <w:p>
            <w:r/>
            <w:r>
              <w:rPr>
                <w:rFonts w:ascii="Arial" w:hAnsi="Arial"/>
                <w:b w:val="0"/>
                <w:color w:val="000000"/>
                <w:sz w:val="16"/>
              </w:rPr>
              <w:t>Legal owner</w:t>
            </w:r>
          </w:p>
        </w:tc>
        <w:tc>
          <w:tcPr>
            <w:tcW w:type="dxa" w:w="8352"/>
            <w:vAlign w:val="center"/>
          </w:tcPr>
          <w:p>
            <w:r/>
            <w:r>
              <w:rPr>
                <w:rFonts w:ascii="Arial" w:hAnsi="Arial"/>
                <w:b w:val="0"/>
                <w:color w:val="000000"/>
                <w:sz w:val="16"/>
              </w:rPr>
              <w:t>PASS only when normalized name ends in LLC</w:t>
            </w:r>
          </w:p>
        </w:tc>
      </w:tr>
      <w:tr>
        <w:tc>
          <w:tcPr>
            <w:tcW w:type="dxa" w:w="3168"/>
            <w:vAlign w:val="center"/>
          </w:tcPr>
          <w:p>
            <w:r/>
            <w:r>
              <w:rPr>
                <w:rFonts w:ascii="Arial" w:hAnsi="Arial"/>
                <w:b w:val="0"/>
                <w:color w:val="000000"/>
                <w:sz w:val="16"/>
              </w:rPr>
              <w:t>Cluster</w:t>
            </w:r>
          </w:p>
        </w:tc>
        <w:tc>
          <w:tcPr>
            <w:tcW w:type="dxa" w:w="8352"/>
            <w:vAlign w:val="center"/>
          </w:tcPr>
          <w:p>
            <w:r/>
            <w:r>
              <w:rPr>
                <w:rFonts w:ascii="Arial" w:hAnsi="Arial"/>
                <w:b w:val="0"/>
                <w:color w:val="000000"/>
                <w:sz w:val="16"/>
              </w:rPr>
              <w:t>PASS only at 2+ distinct LLCs and 2+ distinct parcels</w:t>
            </w:r>
          </w:p>
        </w:tc>
      </w:tr>
      <w:tr>
        <w:tc>
          <w:tcPr>
            <w:tcW w:type="dxa" w:w="3168"/>
            <w:vAlign w:val="center"/>
          </w:tcPr>
          <w:p>
            <w:r/>
            <w:r>
              <w:rPr>
                <w:rFonts w:ascii="Arial" w:hAnsi="Arial"/>
                <w:b w:val="0"/>
                <w:color w:val="000000"/>
                <w:sz w:val="16"/>
              </w:rPr>
              <w:t>Address provenance</w:t>
            </w:r>
          </w:p>
        </w:tc>
        <w:tc>
          <w:tcPr>
            <w:tcW w:type="dxa" w:w="8352"/>
            <w:vAlign w:val="center"/>
          </w:tcPr>
          <w:p>
            <w:r/>
            <w:r>
              <w:rPr>
                <w:rFonts w:ascii="Arial" w:hAnsi="Arial"/>
                <w:b w:val="0"/>
                <w:color w:val="000000"/>
                <w:sz w:val="16"/>
              </w:rPr>
              <w:t>PASS only when the key comes from owner-mail fields</w:t>
            </w:r>
          </w:p>
        </w:tc>
      </w:tr>
      <w:tr>
        <w:tc>
          <w:tcPr>
            <w:tcW w:type="dxa" w:w="3168"/>
            <w:vAlign w:val="center"/>
          </w:tcPr>
          <w:p>
            <w:r/>
            <w:r>
              <w:rPr>
                <w:rFonts w:ascii="Arial" w:hAnsi="Arial"/>
                <w:b w:val="0"/>
                <w:color w:val="000000"/>
                <w:sz w:val="16"/>
              </w:rPr>
              <w:t>Professional/service provider</w:t>
            </w:r>
          </w:p>
        </w:tc>
        <w:tc>
          <w:tcPr>
            <w:tcW w:type="dxa" w:w="8352"/>
            <w:vAlign w:val="center"/>
          </w:tcPr>
          <w:p>
            <w:r/>
            <w:r>
              <w:rPr>
                <w:rFonts w:ascii="Arial" w:hAnsi="Arial"/>
                <w:b w:val="0"/>
                <w:color w:val="000000"/>
                <w:sz w:val="16"/>
              </w:rPr>
              <w:t>Suppress lawyer, registered-agent, CPA/accountant, filing-service and C/O destinations</w:t>
            </w:r>
          </w:p>
        </w:tc>
      </w:tr>
      <w:tr>
        <w:tc>
          <w:tcPr>
            <w:tcW w:type="dxa" w:w="3168"/>
            <w:vAlign w:val="center"/>
          </w:tcPr>
          <w:p>
            <w:r/>
            <w:r>
              <w:rPr>
                <w:rFonts w:ascii="Arial" w:hAnsi="Arial"/>
                <w:b w:val="0"/>
                <w:color w:val="000000"/>
                <w:sz w:val="16"/>
              </w:rPr>
              <w:t>Collision/manual review</w:t>
            </w:r>
          </w:p>
        </w:tc>
        <w:tc>
          <w:tcPr>
            <w:tcW w:type="dxa" w:w="8352"/>
            <w:vAlign w:val="center"/>
          </w:tcPr>
          <w:p>
            <w:r/>
            <w:r>
              <w:rPr>
                <w:rFonts w:ascii="Arial" w:hAnsi="Arial"/>
                <w:b w:val="0"/>
                <w:color w:val="000000"/>
                <w:sz w:val="16"/>
              </w:rPr>
              <w:t>Review high-count addresses and ambiguous suites before automation</w:t>
            </w:r>
          </w:p>
        </w:tc>
      </w:tr>
      <w:tr>
        <w:tc>
          <w:tcPr>
            <w:tcW w:type="dxa" w:w="3168"/>
            <w:vAlign w:val="center"/>
          </w:tcPr>
          <w:p>
            <w:r/>
            <w:r>
              <w:rPr>
                <w:rFonts w:ascii="Arial" w:hAnsi="Arial"/>
                <w:b w:val="0"/>
                <w:color w:val="000000"/>
                <w:sz w:val="16"/>
              </w:rPr>
              <w:t>Postal</w:t>
            </w:r>
          </w:p>
        </w:tc>
        <w:tc>
          <w:tcPr>
            <w:tcW w:type="dxa" w:w="8352"/>
            <w:vAlign w:val="center"/>
          </w:tcPr>
          <w:p>
            <w:r/>
            <w:r>
              <w:rPr>
                <w:rFonts w:ascii="Arial" w:hAnsi="Arial"/>
                <w:b w:val="0"/>
                <w:color w:val="000000"/>
                <w:sz w:val="16"/>
              </w:rPr>
              <w:t>CASS/DPV deliverability and standardized address required</w:t>
            </w:r>
          </w:p>
        </w:tc>
      </w:tr>
      <w:tr>
        <w:tc>
          <w:tcPr>
            <w:tcW w:type="dxa" w:w="3168"/>
            <w:vAlign w:val="center"/>
          </w:tcPr>
          <w:p>
            <w:r/>
            <w:r>
              <w:rPr>
                <w:rFonts w:ascii="Arial" w:hAnsi="Arial"/>
                <w:b w:val="0"/>
                <w:color w:val="000000"/>
                <w:sz w:val="16"/>
              </w:rPr>
              <w:t>Deduplication</w:t>
            </w:r>
          </w:p>
        </w:tc>
        <w:tc>
          <w:tcPr>
            <w:tcW w:type="dxa" w:w="8352"/>
            <w:vAlign w:val="center"/>
          </w:tcPr>
          <w:p>
            <w:r/>
            <w:r>
              <w:rPr>
                <w:rFonts w:ascii="Arial" w:hAnsi="Arial"/>
                <w:b w:val="0"/>
                <w:color w:val="000000"/>
                <w:sz w:val="16"/>
              </w:rPr>
              <w:t>Exactly one outbound row per standardized mailing address</w:t>
            </w:r>
          </w:p>
        </w:tc>
      </w:tr>
      <w:tr>
        <w:tc>
          <w:tcPr>
            <w:tcW w:type="dxa" w:w="3168"/>
            <w:vAlign w:val="center"/>
          </w:tcPr>
          <w:p>
            <w:r/>
            <w:r>
              <w:rPr>
                <w:rFonts w:ascii="Arial" w:hAnsi="Arial"/>
                <w:b w:val="0"/>
                <w:color w:val="000000"/>
                <w:sz w:val="16"/>
              </w:rPr>
              <w:t>Print authorization</w:t>
            </w:r>
          </w:p>
        </w:tc>
        <w:tc>
          <w:tcPr>
            <w:tcW w:type="dxa" w:w="8352"/>
            <w:vAlign w:val="center"/>
          </w:tcPr>
          <w:p>
            <w:r/>
            <w:r>
              <w:rPr>
                <w:rFonts w:ascii="Arial" w:hAnsi="Arial"/>
                <w:b w:val="0"/>
                <w:color w:val="000000"/>
                <w:sz w:val="16"/>
              </w:rPr>
              <w:t>MAIL_READY only when every required gate is PASS</w:t>
            </w:r>
          </w:p>
        </w:tc>
      </w:tr>
    </w:tbl>
    <w:p/>
    <w:p>
      <w:pPr>
        <w:pStyle w:val="Heading1"/>
      </w:pPr>
      <w:r>
        <w:t>9. Next execution order</w:t>
      </w:r>
    </w:p>
    <w:p>
      <w:pPr>
        <w:pStyle w:val="ListNumber"/>
      </w:pPr>
      <w:r>
        <w:t>Complete Cook service-provider classification and evidence logging, starting with high-collision addresses.</w:t>
      </w:r>
    </w:p>
    <w:p>
      <w:pPr>
        <w:pStyle w:val="ListNumber"/>
      </w:pPr>
      <w:r>
        <w:t>Run USPS CASS/DPV and campaign suppressions; create the first true Cook mail-ready file only after validation.</w:t>
      </w:r>
    </w:p>
    <w:p>
      <w:pPr>
        <w:pStyle w:val="ListNumber"/>
      </w:pPr>
      <w:r>
        <w:t>Test DuPage REST fields and compare the authorized database-purchase option.</w:t>
      </w:r>
    </w:p>
    <w:p>
      <w:pPr>
        <w:pStyle w:val="ListNumber"/>
      </w:pPr>
      <w:r>
        <w:t>Request authorized bulk extracts for counties whose sites prohibit or do not support automated extraction.</w:t>
      </w:r>
    </w:p>
    <w:p>
      <w:pPr>
        <w:pStyle w:val="ListNumber"/>
      </w:pPr>
      <w:r>
        <w:t>Integrate each county into the same canonical schema, then deduplicate across county boundaries by standardized owner mailing address.</w:t>
      </w:r>
    </w:p>
    <w:p>
      <w:pPr>
        <w:pStyle w:val="Heading1"/>
      </w:pPr>
      <w:r>
        <w:t>10. Primary references</w:t>
      </w:r>
    </w:p>
    <w:p>
      <w:pPr>
        <w:pStyle w:val="ListBullet"/>
      </w:pPr>
      <w:r>
        <w:t>U.S. Census Bureau, July 2023 delineation files: https://www.census.gov/geographies/reference-files/time-series/demo/metro-micro/delineation-files.html</w:t>
      </w:r>
    </w:p>
    <w:p>
      <w:pPr>
        <w:pStyle w:val="ListBullet"/>
      </w:pPr>
      <w:r>
        <w:t>Cook County Assessor, Parcel Addresses: https://datacatalog.cookcountyil.gov/d/3723-97qp</w:t>
      </w:r>
    </w:p>
    <w:p>
      <w:pPr>
        <w:pStyle w:val="ListBullet"/>
      </w:pPr>
      <w:r>
        <w:t>Cook County 2025 Open Data Refresh: https://datacatalog.cookcountyil.gov/stories/s/Assessor-2025-Open-Data-Refresh/gzdr-q7c4/</w:t>
      </w:r>
    </w:p>
    <w:p>
      <w:pPr>
        <w:pStyle w:val="ListBullet"/>
      </w:pPr>
      <w:r>
        <w:t>DuPage County parcel service: https://gis.dupageco.org/arcgis/rest/services/DuPage_County_IL/ParcelsWithRealEstateCC/MapServer</w:t>
      </w:r>
    </w:p>
    <w:p>
      <w:pPr>
        <w:pStyle w:val="ListBullet"/>
      </w:pPr>
      <w:r>
        <w:t>Lake County, Illinois property search terms: https://tax.lakecountyil.gov/search/commonsearch.aspx?mode=realprop</w:t>
      </w:r>
    </w:p>
    <w:p>
      <w:pPr>
        <w:pStyle w:val="ListBullet"/>
      </w:pPr>
      <w:r>
        <w:t>Kane County GIS FAQ: https://www.kanecountyil.gov/Pages/gis-faq.aspx</w:t>
      </w:r>
    </w:p>
    <w:p>
      <w:pPr>
        <w:pStyle w:val="ListBullet"/>
      </w:pPr>
      <w:r>
        <w:t>Will County vector downloads: https://willcounty.gov/County-Offices/Administration/GIS-Division/Data/Vector</w:t>
      </w:r>
    </w:p>
    <w:p>
      <w:pPr>
        <w:pStyle w:val="ListBullet"/>
      </w:pPr>
      <w:r>
        <w:t>Kendall County live cadastral service: https://maps.co.kendall.il.us/server/rest/services/Hosted/Current_Cadastral_Features/FeatureServer/1</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Chicago MSA Market Adapter  |  Research control document  |  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MSA Market Adapter and Execution Status</dc:title>
  <dc:subject>LLC portfolio identification using shared owner mailing addresses</dc:subject>
  <dc:creator>Research Operations</dc:creator>
  <cp:keywords/>
  <dc:description>generated by python-docx</dc:description>
  <cp:lastModifiedBy/>
  <cp:revision>1</cp:revision>
  <dcterms:created xsi:type="dcterms:W3CDTF">2013-12-23T23:15:00Z</dcterms:created>
  <dcterms:modified xsi:type="dcterms:W3CDTF">2013-12-23T23:15:00Z</dcterms:modified>
  <cp:category/>
</cp:coreProperties>
</file>