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00000"/>
          <w:sz w:val="34"/>
          <w:szCs w:val="34"/>
        </w:rPr>
        <w:t xml:space="preserve">Anonymization Specification</w:t>
      </w:r>
    </w:p>
    <w:p>
      <w:pPr>
        <w:pBdr>
          <w:bottom w:val="single" w:color="000000" w:sz="6" w:space="4"/>
        </w:pBdr>
        <w:spacing w:after="150"/>
      </w:pPr>
      <w:r>
        <w:rPr>
          <w:rFonts w:ascii="Calibri" w:cs="Calibri" w:eastAsia="Calibri" w:hAnsi="Calibri"/>
          <w:i/>
          <w:iCs/>
          <w:color w:val="000000"/>
          <w:sz w:val="19"/>
          <w:szCs w:val="19"/>
        </w:rPr>
        <w:t xml:space="preserve">Draft 9 · July 2026 · Folder-level, value-driven anonymizer. One master Excel + bank CSVs in, per-file tab-delimited out. One seed = one synchronized customer.</w:t>
      </w:r>
    </w:p>
    <w:p>
      <w:pPr>
        <w:pStyle w:val="Heading2"/>
        <w:keepNext/>
        <w:spacing w:after="75" w:before="1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 single run anonymizes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everything in the input folder together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— the master Excel’s data tabs plus every bank CSV — under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one shared mapping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, so all files stay mutually synchronized.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Output is a per-seed batch: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output/&lt;seedname&gt;/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(e.g. output/John.Seed/), one tab-delimited .txt per Excel tab plus one anonymized file per bank CSV. Inputs are read-only and never rewritten.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Data tabs only: process Transactions, RulesN, accounts, LLCs and the like;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skip hidden/veryHidden and formula/report tabs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Clamp every tab to its real used range (RulesN reports 16,371 columns but has 17 — ignore the phantom columns).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Amounts, dates, and all numeric/date cells are identified by type and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never touched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. Books tie to the cent.</w:t>
      </w:r>
    </w:p>
    <w:p>
      <w:pPr>
        <w:pStyle w:val="Heading2"/>
        <w:keepNext/>
        <w:spacing w:after="75" w:before="1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Inputs and identifier sources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Input folder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— the master Excel (full workbook) and the ~dozen raw bank CSVs. Everything in it is anonymized in the same run under the same seed.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Config CSV — free-text identifiers that have no registry: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Names (tenants), Towns, Blacklist. Names and Towns are replaced; Blacklist is a case-insensitive sanity check only.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Harvested from the workbook — structural identifiers: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account names and numbers, LLC/entity names, property codes, and addresses are read directly from the accounts and LLCs tabs (and Transactions) and mapped. Not supplied by config.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Seed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— a string (e.g. John.Seed) that names the output subfolder and the mapping file. One seed = one customer.</w:t>
      </w:r>
    </w:p>
    <w:p>
      <w:pPr>
        <w:pStyle w:val="Heading2"/>
        <w:keepNext/>
        <w:spacing w:after="75" w:before="1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Method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Value-driven, case-insensitive replacement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across every text cell in every tab and file; numeric/date cells skipped by type. Case-insensitive is required — the data mixes forms (danmir/Danmir, IdanAmir/idanamir). No per-column config; synchronization is automatic.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Single pass, no chaining; known-value mappings win over the generic 5+ digit scrub. No AI — fakes are picked from bundled dictionaries (first names, surnames, towns, streets).</w:t>
      </w:r>
    </w:p>
    <w:p>
      <w:pPr>
        <w:pStyle w:val="Heading2"/>
        <w:keepNext/>
        <w:spacing w:after="75" w:before="1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Functional Requirements (FR-ANON)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FR-ANON-01.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Deterministic, one seeded RNG: same seed → byte-identical output; a different seed → a fully independent, non-overlapping set. Sort distinct reals before assigning fakes.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FR-ANON-02.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One run anonymizes the master Excel’s data tabs and all bank CSVs under one shared mapping; nothing is anonymized in a separate pass.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FR-ANON-03.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Output batch output/&lt;seedname&gt;/: one .txt per Excel tab plus one anonymized file per bank CSV. Inputs read-only; the workbook is never rewritten.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FR-ANON-04.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Data tabs only; skip hidden/veryHidden and formula/report tabs. Clamp each tab to its real used column range.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FR-ANON-05.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Value-driven, case-insensitive text-cell replacement across all tabs/files; numeric and date cells never read or modified.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FR-ANON-06.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Two identifier sources: (a) config CSV — Names, Towns, Blacklist; (b) harvested from the accounts and LLCs tabs — account names/numbers, LLC names, property codes, addresses. All are mapped consistently everywhere.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FR-ANON-07.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Names &amp; towns matched anywhere in a string, whole-word, case-insensitive; consistent.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FR-ANON-08.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Account name + Account # are a bound pair; the fake last-four also replaces the bare last-four as a whole 4-digit token inside descriptions and notes (handles both the xxxx7705 and bare 7705 forms).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FR-ANON-09.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LLC/entity and account names harvested from the accounts and LLCs tabs are mapped to realistic fakes — covering the compound account strings (e.g. “Michael Team Ck - xxxx7705 (56CA)”) and their 4-char codes.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FR-ANON-10.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Property codes harvested from LLCs.Prop and Transactions.Prop; the fake is 2 digits + 3 letters derived from the property’s fake street (your convention, e.g. G42VW), unique across properties.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FR-ANON-11.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Addresses: street-and-number replaced with a fake street; city replaced via the Towns list; state and ZIP left unchanged. Applied inside the Address cell and anywhere the street appears.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FR-ANON-12.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5+ digit runs in descriptions/notes are blanket-randomized; known-value mappings win (one combined pass, no chaining).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FR-ANON-13.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Bijection: distinct reals → distinct fakes (collision-redraw), so the LLC key’s joins (address ↔ prop ↔ account ↔ LLC) stay valid.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FR-ANON-14.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The LLCs relationship key is anonymized in the same run with the same mapping, so the anonymized key correctly describes the anonymized data.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FR-ANON-15.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Mapping table is local-only, namespaced per seed (mappings/&lt;seed&gt;), never shared or committed. Idempotent extend applies only when re-running the SAME seed; a new seed starts fresh.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FR-ANON-16.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Blacklist leakage scan — case-insensitive, whitespace-trimmed substring match across all output files; any survivor fails the run loudly. This backstops name roots (e.g. “Michael”) that value mapping did not cover.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FR-ANON-17.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Rule fidelity: RulesN (and AutoCat-style) rules fire on the identical rows after anonymization; account/transfer hit-counts hold.</w:t>
      </w:r>
    </w:p>
    <w:p>
      <w:pPr>
        <w:pStyle w:val="Heading2"/>
        <w:keepNext/>
        <w:spacing w:after="75" w:before="1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Configuration Summary</w:t>
      </w:r>
    </w:p>
    <w:tbl>
      <w:tblPr>
        <w:tblW w:type="dxa" w:w="97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650"/>
        <w:gridCol w:w="2350"/>
        <w:gridCol w:w="4700"/>
      </w:tblGrid>
      <w:tr>
        <w:trPr>
          <w:tblHeader/>
        </w:trPr>
        <w:tc>
          <w:tcPr>
            <w:tcW w:type="dxa" w:w="26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Input</w:t>
            </w:r>
          </w:p>
        </w:tc>
        <w:tc>
          <w:tcPr>
            <w:tcW w:type="dxa" w:w="235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Source</w:t>
            </w:r>
          </w:p>
        </w:tc>
        <w:tc>
          <w:tcPr>
            <w:tcW w:type="dxa" w:w="47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Treatment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Input folder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founder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master Excel (data tabs) + ~dozen bank CSVs; all anonymized together, one seed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Config CSV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founder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Names → whole-word fakes; Towns → fakes; Blacklist → case-insensitive sanity scan only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Account name + Account #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harvested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bound pair; fake last-four coordinated into descriptions/notes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LLC/entity + account names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harvested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realistic fakes; covers compound strings + 4-char codes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Property codes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harvested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2 digits + 3 letters from the fake street, unique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Addresses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harvested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street+number → fake street; city → Towns; state/ZIP untouched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5+ digit in descriptions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tool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blanket randomized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Amounts / dates / numeric cells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untouched (skipped by cell type)</w:t>
            </w:r>
          </w:p>
        </w:tc>
      </w:tr>
      <w:tr>
        <w:tc>
          <w:tcPr>
            <w:tcW w:type="dxa" w:w="26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Seed</w:t>
            </w:r>
          </w:p>
        </w:tc>
        <w:tc>
          <w:tcPr>
            <w:tcW w:type="dxa" w:w="23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founder</w:t>
            </w:r>
          </w:p>
        </w:tc>
        <w:tc>
          <w:tcPr>
            <w:tcW w:type="dxa" w:w="4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36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required; names the output subfolder and mapping file</w:t>
            </w:r>
          </w:p>
        </w:tc>
      </w:tr>
    </w:tbl>
    <w:p>
      <w:pPr>
        <w:pStyle w:val="Heading2"/>
        <w:keepNext/>
        <w:spacing w:after="75" w:before="180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AC-1.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One run leaves the Excel and all bank CSVs synchronized — any real value is the same fake everywhere.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AC-2.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LLC-key joins still resolve after anonymization (bijection holds).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AC-3.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Case-insensitive blacklist scan passes across all outputs — no owner, entity, or tenant root survives.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AC-4.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Every LLC’s P&amp;L and balance sheet match the original to the cent; all accounts reconcile.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AC-5.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RulesN rules fire on the identical row set; hit-counts hold.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AC-6.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Same seed → byte-identical output; a different seed → an independent batch under its own subfolder.</w:t>
      </w:r>
    </w:p>
    <w:p>
      <w:pPr>
        <w:pStyle w:val="ListParagraph"/>
        <w:numPr>
          <w:ilvl w:val="0"/>
          <w:numId w:val="2"/>
        </w:numPr>
        <w:spacing w:after="52" w:line="248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AC-7.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100 random descriptors read naturally — no real name, town, street, property code, or account survives.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2026-07-27T16:59:06.694Z</dcterms:created>
  <dcterms:modified xsi:type="dcterms:W3CDTF">2026-07-27T16:59:06.711Z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