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访谈与公开材料摘录</w:t>
      </w:r>
    </w:p>
    <w:p>
      <w:r>
        <w:t>2024年研究估算目标市场规模约为 62 亿元；后续缺少同口径更新。</w:t>
      </w:r>
    </w:p>
    <w:p>
      <w:r>
        <w:t>客户访谈显示价格、交付稳定性和售后能力共同影响采购决定。</w:t>
      </w:r>
    </w:p>
    <w:p>
      <w:r>
        <w:t>2024年研究估算目标市场规模约为 62 亿元。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