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研究口径与情景选择</w:t>
      </w:r>
    </w:p>
    <w:p>
      <w:pPr>
        <w:spacing w:after="200"/>
        <w:pBdr>
          <w:bottom w:val="single" w:sz="10" w:space="8" w:color="2E74B5"/>
        </w:pBdr>
      </w:pPr>
    </w:p>
    <w:p>
      <w:pPr>
        <w:spacing w:after="200"/>
        <w:jc w:val="left"/>
        <w:shd w:fill="FFF3E8"/>
      </w:pPr>
      <w:r>
        <w:rPr>
          <w:rFonts w:ascii="Arial Unicode MS" w:hAnsi="Arial Unicode MS"/>
          <w:b/>
          <w:color w:val="9A3412"/>
          <w:sz w:val="18"/>
        </w:rPr>
        <w:t>公开问题原型驱动、脱敏重构的可复现实战案例｜非真实客户文件</w:t>
      </w:r>
    </w:p>
    <w:p>
      <w:r>
        <w:t>研究期间为2026年1月1日至2026年6月30日，证据截止日为2026年7月18日。</w:t>
      </w:r>
    </w:p>
    <w:p>
      <w:r>
        <w:t>本报告市场口径包含视觉相机、边缘计算、软件和系统集成，统称全国全栈市场。</w:t>
      </w:r>
    </w:p>
    <w:p>
      <w:r>
        <w:t>核心收入预计采用基准情景，乐观情景只用于压力测试。</w:t>
      </w:r>
    </w:p>
    <w:p>
      <w:r>
        <w:t>硬件市场仅包含视觉相机和边缘计算设备，不含软件与系统集成。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979" w:left="144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公开问题原型驱动、脱敏重构的可复现实战案例｜非真实客户文件</w:t>
    </w:r>
    <w:r>
      <w:t xml:space="preserve">  · 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 Unicode MS" w:hAnsi="Arial Unicode MS"/>
        <w:color w:val="667085"/>
        <w:sz w:val="15"/>
      </w:rPr>
      <w:t>CLAIMLEDGER  ·  EVIDENCE ASSURANCE DEMO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 w:cs="Arial Unicode MS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Arial Unicode MS" w:hAnsi="Arial Unicode MS" w:eastAsia="Arial Unicode MS" w:cs="Arial Unicode MS"/>
      <w:b w:val="0"/>
      <w:color w:val="2025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