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访谈方法与局限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本轮访谈共覆盖24家企业，其中18家大型制造企业、6家中小企业。</w:t>
      </w:r>
    </w:p>
    <w:p>
      <w:r>
        <w:t>价格并非唯一采购因素，交付稳定性和售后能力也会影响采购决定。</w:t>
      </w:r>
    </w:p>
    <w:p>
      <w:r>
        <w:t>样本仅覆盖华东市场和华南市场，未做全国口径加权，不能代表全国市场需求。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