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工业视觉质检市场进入建议</w:t>
      </w:r>
    </w:p>
    <w:p>
      <w:pPr>
        <w:spacing w:after="200"/>
        <w:jc w:val="left"/>
      </w:pPr>
      <w:r>
        <w:rPr>
          <w:rFonts w:ascii="Arial Unicode MS" w:hAnsi="Arial Unicode MS"/>
          <w:color w:val="475467"/>
          <w:sz w:val="24"/>
        </w:rPr>
        <w:t>客户交付稿｜AI 初稿待证据审计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送审对象：</w:t>
      </w:r>
      <w:r>
        <w:rPr>
          <w:rFonts w:ascii="Arial Unicode MS" w:hAnsi="Arial Unicode MS"/>
          <w:color w:val="344054"/>
          <w:sz w:val="19"/>
        </w:rPr>
        <w:t>客户战略委员会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案例编号：</w:t>
      </w:r>
      <w:r>
        <w:rPr>
          <w:rFonts w:ascii="Arial Unicode MS" w:hAnsi="Arial Unicode MS"/>
          <w:color w:val="344054"/>
          <w:sz w:val="19"/>
        </w:rPr>
        <w:t>CL-CONS-001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证据截止日：</w:t>
      </w:r>
      <w:r>
        <w:rPr>
          <w:rFonts w:ascii="Arial Unicode MS" w:hAnsi="Arial Unicode MS"/>
          <w:color w:val="344054"/>
          <w:sz w:val="19"/>
        </w:rPr>
        <w:t>2026-07-18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交付状态：</w:t>
      </w:r>
      <w:r>
        <w:rPr>
          <w:rFonts w:ascii="Arial Unicode MS" w:hAnsi="Arial Unicode MS"/>
          <w:color w:val="344054"/>
          <w:sz w:val="19"/>
        </w:rPr>
        <w:t>存在市场边界、样本外推和时效风险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pPr>
        <w:pStyle w:val="Heading1"/>
      </w:pPr>
      <w:r>
        <w:t>一、市场规模与预测</w:t>
      </w:r>
    </w:p>
    <w:p>
      <w:pPr>
        <w:pStyle w:val="ListNumber"/>
      </w:pPr>
      <w:r>
        <w:t>研究期间为2026年1月1日至2026年6月30日。</w:t>
      </w:r>
    </w:p>
    <w:p>
      <w:pPr>
        <w:pStyle w:val="ListNumber"/>
      </w:pPr>
      <w:r>
        <w:t>本报告市场口径包含视觉相机、边缘计算、软件和系统集成。</w:t>
      </w:r>
    </w:p>
    <w:p>
      <w:pPr>
        <w:pStyle w:val="ListNumber"/>
      </w:pPr>
      <w:r>
        <w:t>2025年全国工业视觉质检市场规模达到85亿元。</w:t>
      </w:r>
    </w:p>
    <w:p>
      <w:pPr>
        <w:pStyle w:val="ListNumber"/>
      </w:pPr>
      <w:r>
        <w:t>2025年华东市场规模达到68亿元。</w:t>
      </w:r>
    </w:p>
    <w:p>
      <w:pPr>
        <w:pStyle w:val="ListNumber"/>
      </w:pPr>
      <w:r>
        <w:t>2025年硬件市场规模达到68亿元。</w:t>
      </w:r>
    </w:p>
    <w:p>
      <w:pPr>
        <w:pStyle w:val="ListNumber"/>
      </w:pPr>
      <w:r>
        <w:t>2025年全国全栈市场规模为68亿元。</w:t>
      </w:r>
    </w:p>
    <w:p>
      <w:pPr>
        <w:pStyle w:val="ListNumber"/>
      </w:pPr>
      <w:r>
        <w:t>2026年基准情景市场规模为78.2亿元。</w:t>
      </w:r>
    </w:p>
    <w:p>
      <w:pPr>
        <w:pStyle w:val="ListNumber"/>
      </w:pPr>
      <w:r>
        <w:t>基准情景2025年至2028年复合增长率为15%。</w:t>
      </w:r>
    </w:p>
    <w:p>
      <w:pPr>
        <w:pStyle w:val="ListNumber"/>
      </w:pPr>
      <w:r>
        <w:t>基准情景未来三年市场规模将保持25%的增长率。</w:t>
      </w:r>
    </w:p>
    <w:p>
      <w:pPr>
        <w:pStyle w:val="ListNumber"/>
      </w:pPr>
      <w:r>
        <w:t>乐观情景2025年至2028年复合增长率为25%。</w:t>
      </w:r>
    </w:p>
    <w:p>
      <w:pPr>
        <w:pStyle w:val="ListNumber"/>
      </w:pPr>
      <w:r>
        <w:t>核心收入预计采用乐观情景。</w:t>
      </w:r>
    </w:p>
    <w:p>
      <w:pPr>
        <w:pStyle w:val="Heading1"/>
      </w:pPr>
      <w:r>
        <w:t>二、访谈与试点</w:t>
      </w:r>
    </w:p>
    <w:p>
      <w:pPr>
        <w:pStyle w:val="ListNumber"/>
      </w:pPr>
      <w:r>
        <w:t>本轮访谈共覆盖24家企业。</w:t>
      </w:r>
    </w:p>
    <w:p>
      <w:pPr>
        <w:pStyle w:val="ListNumber"/>
      </w:pPr>
      <w:r>
        <w:t>访谈样本包含18家大型制造企业和6家中小企业。</w:t>
      </w:r>
    </w:p>
    <w:p>
      <w:pPr>
        <w:pStyle w:val="ListNumber"/>
      </w:pPr>
      <w:r>
        <w:t>所有受访客户均将价格视为唯一采购因素。</w:t>
      </w:r>
    </w:p>
    <w:p>
      <w:pPr>
        <w:pStyle w:val="ListNumber"/>
      </w:pPr>
      <w:r>
        <w:t>24家样本中有15家将价格列入前三项采购因素。</w:t>
      </w:r>
    </w:p>
    <w:p>
      <w:pPr>
        <w:pStyle w:val="ListNumber"/>
      </w:pPr>
      <w:r>
        <w:t>24家样本中有18家将交付稳定性列入前三项采购因素。</w:t>
      </w:r>
    </w:p>
    <w:p>
      <w:pPr>
        <w:pStyle w:val="ListNumber"/>
      </w:pPr>
      <w:r>
        <w:t>交付稳定性进入前三项采购因素的样本占75%。</w:t>
      </w:r>
    </w:p>
    <w:p>
      <w:pPr>
        <w:pStyle w:val="ListNumber"/>
      </w:pPr>
      <w:r>
        <w:t>全部24家受访企业均计划在未来12个月采购。</w:t>
      </w:r>
    </w:p>
    <w:p>
      <w:pPr>
        <w:pStyle w:val="ListNumber"/>
      </w:pPr>
      <w:r>
        <w:t>计划在未来12个月采购的样本占58.3%。</w:t>
      </w:r>
    </w:p>
    <w:p>
      <w:pPr>
        <w:pStyle w:val="ListNumber"/>
      </w:pPr>
      <w:r>
        <w:t>本轮访谈可以代表全国市场需求。</w:t>
      </w:r>
    </w:p>
    <w:p>
      <w:pPr>
        <w:pStyle w:val="ListNumber"/>
      </w:pPr>
      <w:r>
        <w:t>6家试点客户的平均漏检率下降22%。</w:t>
      </w:r>
    </w:p>
    <w:p>
      <w:pPr>
        <w:pStyle w:val="ListNumber"/>
      </w:pPr>
      <w:r>
        <w:t>漏检率下降22%的结论适用于全部制造企业。</w:t>
      </w:r>
    </w:p>
    <w:p>
      <w:pPr>
        <w:pStyle w:val="ListNumber"/>
      </w:pPr>
      <w:r>
        <w:t>6家试点客户的平均投资回收期为14个月。</w:t>
      </w:r>
    </w:p>
    <w:p>
      <w:pPr>
        <w:pStyle w:val="Heading1"/>
      </w:pPr>
      <w:r>
        <w:t>三、竞品、政策与建议</w:t>
      </w:r>
    </w:p>
    <w:p>
      <w:pPr>
        <w:pStyle w:val="ListNumber"/>
      </w:pPr>
      <w:r>
        <w:t>截至目前，竞品一体机成交价区间为35万元至80万元。</w:t>
      </w:r>
    </w:p>
    <w:p>
      <w:pPr>
        <w:pStyle w:val="ListNumber"/>
      </w:pPr>
      <w:r>
        <w:t>竞争对手甲2025年相关业务收入为12亿元。</w:t>
      </w:r>
    </w:p>
    <w:p>
      <w:pPr>
        <w:pStyle w:val="ListNumber"/>
      </w:pPr>
      <w:r>
        <w:t>竞争对手乙在全国市场的份额为40%。</w:t>
      </w:r>
    </w:p>
    <w:p>
      <w:pPr>
        <w:pStyle w:val="ListNumber"/>
      </w:pPr>
      <w:r>
        <w:t>现行政策要求所有工厂在2027年前部署AI质检系统。</w:t>
      </w:r>
    </w:p>
    <w:p>
      <w:pPr>
        <w:pStyle w:val="ListNumber"/>
      </w:pPr>
      <w:r>
        <w:t>项目可以无条件在全国全面商业化，无需补充验证。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