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运营口径与证据截点</w:t>
      </w:r>
    </w:p>
    <w:p>
      <w:pPr>
        <w:spacing w:after="200"/>
        <w:pBdr>
          <w:bottom w:val="single" w:sz="10" w:space="8" w:color="2E74B5"/>
        </w:pBdr>
      </w:pPr>
    </w:p>
    <w:p>
      <w:pPr>
        <w:spacing w:after="200"/>
        <w:jc w:val="left"/>
        <w:shd w:fill="FFF3E8"/>
      </w:pPr>
      <w:r>
        <w:rPr>
          <w:rFonts w:ascii="Arial Unicode MS" w:hAnsi="Arial Unicode MS"/>
          <w:b/>
          <w:color w:val="9A3412"/>
          <w:sz w:val="18"/>
        </w:rPr>
        <w:t>公开问题原型驱动、脱敏重构的可复现实战案例｜非真实客户文件</w:t>
      </w:r>
    </w:p>
    <w:p>
      <w:r>
        <w:t>报告统计期间为2026年7月1日至2026年7月31日，证据截止日为2026年8月5日。</w:t>
      </w:r>
    </w:p>
    <w:p>
      <w:r>
        <w:t>订单生命周期分为创建、支付和完成，三个分母不得混用。</w:t>
      </w:r>
    </w:p>
    <w:p>
      <w:r>
        <w:t>订单完成率按完成订单数除以创建订单数计算，区域指标必须与全国加权指标分开。</w:t>
      </w:r>
    </w:p>
    <w:p>
      <w:r>
        <w:t>同比使用2025年7月，环比使用2026年6月，交付周期统一采用自然日。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79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公开问题原型驱动、脱敏重构的可复现实战案例｜非真实客户文件</w:t>
    </w:r>
    <w:r>
      <w:t xml:space="preserve">  ·  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/>
        <w:color w:val="667085"/>
        <w:sz w:val="15"/>
      </w:rPr>
      <w:t>CLAIMLEDGER  ·  EVIDENCE ASSURANCE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