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重大履约异常RCA</w:t>
      </w:r>
    </w:p>
    <w:p>
      <w:pPr>
        <w:spacing w:after="200"/>
        <w:pBdr>
          <w:bottom w:val="single" w:sz="10" w:space="8" w:color="2E74B5"/>
        </w:pBdr>
      </w:pPr>
    </w:p>
    <w:p>
      <w:pPr>
        <w:spacing w:after="200"/>
        <w:jc w:val="left"/>
        <w:shd w:fill="FFF3E8"/>
      </w:pPr>
      <w:r>
        <w:rPr>
          <w:rFonts w:ascii="Arial Unicode MS" w:hAnsi="Arial Unicode MS"/>
          <w:b/>
          <w:color w:val="9A3412"/>
          <w:sz w:val="18"/>
        </w:rPr>
        <w:t>公开问题原型驱动、脱敏重构的可复现实战案例｜非真实客户文件</w:t>
      </w:r>
    </w:p>
    <w:p>
      <w:r>
        <w:t>2026年7月18日，承运商S发生1次重大履约异常，造成华东仓96票订单延迟。</w:t>
      </w:r>
    </w:p>
    <w:p>
      <w:r>
        <w:t>根因是干线调度系统故障，承运商于2026年7月21日完成修复。</w:t>
      </w:r>
    </w:p>
    <w:p>
      <w:r>
        <w:t>该事件已进入月度SLA扣罚和持续改进清单。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公开问题原型驱动、脱敏重构的可复现实战案例｜非真实客户文件</w:t>
    </w:r>
    <w:r>
      <w:t xml:space="preserve">  ·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/>
        <w:color w:val="667085"/>
        <w:sz w:val="15"/>
      </w:rPr>
      <w:t>CLAIMLEDGER  ·  EVIDENCE ASSURANCE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