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全国电商履约运营月报</w:t>
      </w:r>
    </w:p>
    <w:p>
      <w:pPr>
        <w:spacing w:after="200"/>
        <w:jc w:val="left"/>
      </w:pPr>
      <w:r>
        <w:rPr>
          <w:rFonts w:ascii="Arial Unicode MS" w:hAnsi="Arial Unicode MS"/>
          <w:color w:val="475467"/>
          <w:sz w:val="24"/>
        </w:rPr>
        <w:t>经营例会送审稿｜AI 初稿待证据审计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送审对象：</w:t>
      </w:r>
      <w:r>
        <w:rPr>
          <w:rFonts w:ascii="Arial Unicode MS" w:hAnsi="Arial Unicode MS"/>
          <w:color w:val="344054"/>
          <w:sz w:val="19"/>
        </w:rPr>
        <w:t>经营管理委员会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案例编号：</w:t>
      </w:r>
      <w:r>
        <w:rPr>
          <w:rFonts w:ascii="Arial Unicode MS" w:hAnsi="Arial Unicode MS"/>
          <w:color w:val="344054"/>
          <w:sz w:val="19"/>
        </w:rPr>
        <w:t>CL-OPS-001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证据截止日：</w:t>
      </w:r>
      <w:r>
        <w:rPr>
          <w:rFonts w:ascii="Arial Unicode MS" w:hAnsi="Arial Unicode MS"/>
          <w:color w:val="344054"/>
          <w:sz w:val="19"/>
        </w:rPr>
        <w:t>2026-08-05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交付状态：</w:t>
      </w:r>
      <w:r>
        <w:rPr>
          <w:rFonts w:ascii="Arial Unicode MS" w:hAnsi="Arial Unicode MS"/>
          <w:color w:val="344054"/>
          <w:sz w:val="19"/>
        </w:rPr>
        <w:t>存在口径与时效风险，未经人工闭环不得交付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pPr>
        <w:pStyle w:val="Heading1"/>
      </w:pPr>
      <w:r>
        <w:t>一、订单与增长</w:t>
      </w:r>
    </w:p>
    <w:p>
      <w:pPr>
        <w:pStyle w:val="ListNumber"/>
      </w:pPr>
      <w:r>
        <w:t>报告统计期间为2026年7月1日至2026年7月31日。</w:t>
      </w:r>
    </w:p>
    <w:p>
      <w:pPr>
        <w:pStyle w:val="ListNumber"/>
      </w:pPr>
      <w:r>
        <w:t>7月共创建订单15420单。</w:t>
      </w:r>
    </w:p>
    <w:p>
      <w:pPr>
        <w:pStyle w:val="ListNumber"/>
      </w:pPr>
      <w:r>
        <w:t>7月完成订单14880单。</w:t>
      </w:r>
    </w:p>
    <w:p>
      <w:pPr>
        <w:pStyle w:val="ListNumber"/>
      </w:pPr>
      <w:r>
        <w:t>7月支付订单14600单。</w:t>
      </w:r>
    </w:p>
    <w:p>
      <w:pPr>
        <w:pStyle w:val="ListNumber"/>
      </w:pPr>
      <w:r>
        <w:t>7月订单完成率为96.5%。</w:t>
      </w:r>
    </w:p>
    <w:p>
      <w:pPr>
        <w:pStyle w:val="ListNumber"/>
      </w:pPr>
      <w:r>
        <w:t>7月完成订单环比增长6.3%。</w:t>
      </w:r>
    </w:p>
    <w:p>
      <w:pPr>
        <w:pStyle w:val="ListNumber"/>
      </w:pPr>
      <w:r>
        <w:t>7月完成订单同比增长18.0%。</w:t>
      </w:r>
    </w:p>
    <w:p>
      <w:pPr>
        <w:pStyle w:val="Heading1"/>
      </w:pPr>
      <w:r>
        <w:t>二、履约与客户体验</w:t>
      </w:r>
    </w:p>
    <w:p>
      <w:pPr>
        <w:pStyle w:val="ListNumber"/>
      </w:pPr>
      <w:r>
        <w:t>7月全国仓准时交付率为96.4%。</w:t>
      </w:r>
    </w:p>
    <w:p>
      <w:pPr>
        <w:pStyle w:val="ListNumber"/>
      </w:pPr>
      <w:r>
        <w:t>7月华东仓准时交付率为96.4%。</w:t>
      </w:r>
    </w:p>
    <w:p>
      <w:pPr>
        <w:pStyle w:val="ListNumber"/>
      </w:pPr>
      <w:r>
        <w:t>7月华南仓准时交付率为97.2%。</w:t>
      </w:r>
    </w:p>
    <w:p>
      <w:pPr>
        <w:pStyle w:val="ListNumber"/>
      </w:pPr>
      <w:r>
        <w:t>7月全国平均交付周期为2.8个自然日。</w:t>
      </w:r>
    </w:p>
    <w:p>
      <w:pPr>
        <w:pStyle w:val="ListNumber"/>
      </w:pPr>
      <w:r>
        <w:t>7月平均交付周期环比下降30%。</w:t>
      </w:r>
    </w:p>
    <w:p>
      <w:pPr>
        <w:pStyle w:val="ListNumber"/>
      </w:pPr>
      <w:r>
        <w:t>7月所有区域仓平均交付周期均低于3个自然日。</w:t>
      </w:r>
    </w:p>
    <w:p>
      <w:pPr>
        <w:pStyle w:val="ListNumber"/>
      </w:pPr>
      <w:r>
        <w:t>7月投诉率按完成订单口径计算为0.42%。</w:t>
      </w:r>
    </w:p>
    <w:p>
      <w:pPr>
        <w:pStyle w:val="ListNumber"/>
      </w:pPr>
      <w:r>
        <w:t>7月退货订单率为1.8%。</w:t>
      </w:r>
    </w:p>
    <w:p>
      <w:pPr>
        <w:pStyle w:val="ListNumber"/>
      </w:pPr>
      <w:r>
        <w:t>7月退货订单率环比下降0.4个百分点。</w:t>
      </w:r>
    </w:p>
    <w:p>
      <w:pPr>
        <w:pStyle w:val="Heading1"/>
      </w:pPr>
      <w:r>
        <w:t>三、库存、成本与承运商</w:t>
      </w:r>
    </w:p>
    <w:p>
      <w:pPr>
        <w:pStyle w:val="ListNumber"/>
      </w:pPr>
      <w:r>
        <w:t>7月缺货SKU共37个。</w:t>
      </w:r>
    </w:p>
    <w:p>
      <w:pPr>
        <w:pStyle w:val="ListNumber"/>
      </w:pPr>
      <w:r>
        <w:t>7月缺货SKU环比下降25%。</w:t>
      </w:r>
    </w:p>
    <w:p>
      <w:pPr>
        <w:pStyle w:val="ListNumber"/>
      </w:pPr>
      <w:r>
        <w:t>7月全国仓库存准确率为99.2%。</w:t>
      </w:r>
    </w:p>
    <w:p>
      <w:pPr>
        <w:pStyle w:val="ListNumber"/>
      </w:pPr>
      <w:r>
        <w:t>7月所有仓库库存准确率均不低于99%。</w:t>
      </w:r>
    </w:p>
    <w:p>
      <w:pPr>
        <w:pStyle w:val="ListNumber"/>
      </w:pPr>
      <w:r>
        <w:t>7月承运商S在24小时内提货达成率为99.1%。</w:t>
      </w:r>
    </w:p>
    <w:p>
      <w:pPr>
        <w:pStyle w:val="ListNumber"/>
      </w:pPr>
      <w:r>
        <w:t>7月承运商S没有发生重大履约异常。</w:t>
      </w:r>
    </w:p>
    <w:p>
      <w:pPr>
        <w:pStyle w:val="ListNumber"/>
      </w:pPr>
      <w:r>
        <w:t>7月运费支出为186万元。</w:t>
      </w:r>
    </w:p>
    <w:p>
      <w:pPr>
        <w:pStyle w:val="ListNumber"/>
      </w:pPr>
      <w:r>
        <w:t>7月每完成订单运费为125元。</w:t>
      </w:r>
    </w:p>
    <w:p>
      <w:pPr>
        <w:pStyle w:val="ListNumber"/>
      </w:pPr>
      <w:r>
        <w:t>7月运费支出环比下降8%。</w:t>
      </w:r>
    </w:p>
    <w:p>
      <w:pPr>
        <w:pStyle w:val="ListNumber"/>
      </w:pPr>
      <w:r>
        <w:t>7月华东仓产能利用率为82%。</w:t>
      </w:r>
    </w:p>
    <w:p>
      <w:pPr>
        <w:pStyle w:val="ListNumber"/>
      </w:pPr>
      <w:r>
        <w:t>7月全国仓产能利用率为82%。</w:t>
      </w:r>
    </w:p>
    <w:p>
      <w:pPr>
        <w:pStyle w:val="ListNumber"/>
      </w:pPr>
      <w:r>
        <w:t>截至目前，承运商S货运保险仍然有效。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