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审计口径与决策门槛</w:t>
      </w:r>
    </w:p>
    <w:p>
      <w:pPr>
        <w:spacing w:after="200"/>
        <w:pBdr>
          <w:bottom w:val="single" w:sz="10" w:space="8" w:color="2E74B5"/>
        </w:pBdr>
      </w:pPr>
    </w:p>
    <w:p>
      <w:pPr>
        <w:spacing w:after="200"/>
        <w:jc w:val="left"/>
        <w:shd w:fill="FFF3E8"/>
      </w:pPr>
      <w:r>
        <w:rPr>
          <w:rFonts w:ascii="Arial Unicode MS" w:hAnsi="Arial Unicode MS"/>
          <w:b/>
          <w:color w:val="9A3412"/>
          <w:sz w:val="18"/>
        </w:rPr>
        <w:t>公开问题原型驱动、脱敏重构的可复现实战案例｜非真实客户文件</w:t>
      </w:r>
    </w:p>
    <w:p>
      <w:r>
        <w:t>评估期间为2025年7月1日至2026年6月30日，证据截止日为2026年6月30日。</w:t>
      </w:r>
    </w:p>
    <w:p>
      <w:r>
        <w:t>年度需求为1200万个750mL双淋膜纸餐盒，年度预算为1080万元。</w:t>
      </w:r>
    </w:p>
    <w:p>
      <w:r>
        <w:t>报价必须统一到同规格、含税、含运、包含一次性费用的年度总拥有成本口径。</w:t>
      </w:r>
    </w:p>
    <w:p>
      <w:r>
        <w:t>价格、证书、合同主体和检测范围风险关闭前，不得无条件续签供应商B。</w:t>
      </w:r>
    </w:p>
    <w:p>
      <w:r>
        <w:t>本轮共登记17组证据材料，均在截止日前收到。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979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公开问题原型驱动、脱敏重构的可复现实战案例｜非真实客户文件</w:t>
    </w:r>
    <w:r>
      <w:t xml:space="preserve">  ·  第 </w:t>
    </w:r>
    <w:r>
      <w:fldChar w:fldCharType="begin"/>
      <w:instrText xml:space="preserve">PAGE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 Unicode MS" w:hAnsi="Arial Unicode MS"/>
        <w:color w:val="667085"/>
        <w:sz w:val="15"/>
      </w:rPr>
      <w:t>CLAIMLEDGER  ·  EVIDENCE ASSURANCE DEMO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 Unicode MS" w:hAnsi="Arial Unicode MS" w:eastAsia="Arial Unicode MS" w:cs="Arial Unicode MS"/>
      <w:b w:val="0"/>
      <w:color w:val="2025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color w:val="111827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64" w:lineRule="auto"/>
      <w:contextualSpacing/>
    </w:pPr>
    <w:rPr>
      <w:rFonts w:ascii="Arial Unicode MS" w:hAnsi="Arial Unicode MS" w:eastAsia="Arial Unicode MS" w:cs="Arial Unicode MS"/>
      <w:b w:val="0"/>
      <w:color w:val="20252B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64" w:lineRule="auto"/>
      <w:contextualSpacing/>
    </w:pPr>
    <w:rPr>
      <w:rFonts w:ascii="Arial Unicode MS" w:hAnsi="Arial Unicode MS" w:eastAsia="Arial Unicode MS" w:cs="Arial Unicode MS"/>
      <w:b w:val="0"/>
      <w:color w:val="20252B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