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投诉与整改记录</w:t>
      </w:r>
    </w:p>
    <w:p>
      <w:pPr>
        <w:spacing w:after="200"/>
        <w:pBdr>
          <w:bottom w:val="single" w:sz="10" w:space="8" w:color="2E74B5"/>
        </w:pBdr>
      </w:pPr>
    </w:p>
    <w:p>
      <w:pPr>
        <w:spacing w:after="200"/>
        <w:jc w:val="left"/>
        <w:shd w:fill="FFF3E8"/>
      </w:pPr>
      <w:r>
        <w:rPr>
          <w:rFonts w:ascii="Arial Unicode MS" w:hAnsi="Arial Unicode MS"/>
          <w:b/>
          <w:color w:val="9A3412"/>
          <w:sz w:val="18"/>
        </w:rPr>
        <w:t>公开问题原型驱动、脱敏重构的可复现实战案例｜非真实客户文件</w:t>
      </w:r>
    </w:p>
    <w:p>
      <w:r>
        <w:t>供应商B在2026年4月发生一次重大延期，原因是主线设备故障。</w:t>
      </w:r>
    </w:p>
    <w:p>
      <w:r>
        <w:t>供应商B投诉平均关闭时间为2.1天。</w:t>
      </w:r>
    </w:p>
    <w:p>
      <w:r>
        <w:t>评估期内没有食品安全事件。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979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公开问题原型驱动、脱敏重构的可复现实战案例｜非真实客户文件</w:t>
    </w:r>
    <w:r>
      <w:t xml:space="preserve">  ·  第 </w:t>
    </w:r>
    <w:r>
      <w:fldChar w:fldCharType="begin"/>
      <w:instrText xml:space="preserve">PAGE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 Unicode MS" w:hAnsi="Arial Unicode MS"/>
        <w:color w:val="667085"/>
        <w:sz w:val="15"/>
      </w:rPr>
      <w:t>CLAIMLEDGER  ·  EVIDENCE ASSURANCE DEMO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hAnsi="Arial Unicode MS" w:eastAsia="Arial Unicode MS" w:cs="Arial Unicode MS"/>
      <w:b w:val="0"/>
      <w:color w:val="2025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color w:val="11182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4" w:lineRule="auto"/>
      <w:contextualSpacing/>
    </w:pPr>
    <w:rPr>
      <w:rFonts w:ascii="Arial Unicode MS" w:hAnsi="Arial Unicode MS" w:eastAsia="Arial Unicode MS" w:cs="Arial Unicode MS"/>
      <w:b w:val="0"/>
      <w:color w:val="20252B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4" w:lineRule="auto"/>
      <w:contextualSpacing/>
    </w:pPr>
    <w:rPr>
      <w:rFonts w:ascii="Arial Unicode MS" w:hAnsi="Arial Unicode MS" w:eastAsia="Arial Unicode MS" w:cs="Arial Unicode MS"/>
      <w:b w:val="0"/>
      <w:color w:val="20252B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