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采购评审会议纪要及利益冲突声明</w:t>
      </w:r>
    </w:p>
    <w:p>
      <w:pPr>
        <w:spacing w:after="200"/>
        <w:pBdr>
          <w:bottom w:val="single" w:sz="10" w:space="8" w:color="2E74B5"/>
        </w:pBdr>
      </w:pPr>
    </w:p>
    <w:p>
      <w:pPr>
        <w:spacing w:after="200"/>
        <w:jc w:val="left"/>
        <w:shd w:fill="FFF3E8"/>
      </w:pPr>
      <w:r>
        <w:rPr>
          <w:rFonts w:ascii="Arial Unicode MS" w:hAnsi="Arial Unicode MS"/>
          <w:b/>
          <w:color w:val="9A3412"/>
          <w:sz w:val="18"/>
        </w:rPr>
        <w:t>公开问题原型驱动、脱敏重构的可复现实战案例｜非真实客户文件</w:t>
      </w:r>
    </w:p>
    <w:p>
      <w:r>
        <w:t>委员会仅批准供应商B先试供30%，供应商A保留70%；价格、证书和主体风险关闭后再议正式份额。</w:t>
      </w:r>
    </w:p>
    <w:p>
      <w:r>
        <w:t>份额分配尚未完成断供压力测试或替代方案测算。</w:t>
      </w:r>
    </w:p>
    <w:p>
      <w:r>
        <w:t>利益冲突声明共6名评审人，已收5份，仍缺1名审批人签署。</w:t>
      </w:r>
    </w:p>
    <w:p>
      <w:r>
        <w:t>本次共登记17组材料，均在2026年6月30日前收到。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979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公开问题原型驱动、脱敏重构的可复现实战案例｜非真实客户文件</w:t>
    </w:r>
    <w:r>
      <w:t xml:space="preserve">  ·  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/>
        <w:color w:val="667085"/>
        <w:sz w:val="15"/>
      </w:rPr>
      <w:t>CLAIMLEDGER  ·  EVIDENCE ASSURANCE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11182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