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供应商主体与关联关系说明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脱敏重构演示材料｜非真实企业文件</w:t>
      </w:r>
    </w:p>
    <w:p>
      <w:r>
        <w:t>合同主体为博远包装有限公司，注册资本为3000万元。</w:t>
      </w:r>
    </w:p>
    <w:p>
      <w:r>
        <w:t>博远供应链有限公司是关联公司，不是本次合同主体。</w:t>
      </w:r>
    </w:p>
    <w:p>
      <w:r>
        <w:t>证书、合同、付款收款人必须分别核对，不得因为关联关系视为同一主体。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脱敏重构演示材料｜非真实企业文件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