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食品包装供应商续签决策报告</w:t>
      </w:r>
    </w:p>
    <w:p>
      <w:pPr>
        <w:spacing w:after="200"/>
        <w:jc w:val="left"/>
      </w:pPr>
      <w:r>
        <w:rPr>
          <w:rFonts w:ascii="Arial Unicode MS" w:hAnsi="Arial Unicode MS"/>
          <w:color w:val="475467"/>
          <w:sz w:val="24"/>
        </w:rPr>
        <w:t>采购委员会审议稿｜AI 初稿待证据审计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送审对象：</w:t>
      </w:r>
      <w:r>
        <w:rPr>
          <w:rFonts w:ascii="Arial Unicode MS" w:hAnsi="Arial Unicode MS"/>
          <w:color w:val="344054"/>
          <w:sz w:val="19"/>
        </w:rPr>
        <w:t>采购委员会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案例编号：</w:t>
      </w:r>
      <w:r>
        <w:rPr>
          <w:rFonts w:ascii="Arial Unicode MS" w:hAnsi="Arial Unicode MS"/>
          <w:color w:val="344054"/>
          <w:sz w:val="19"/>
        </w:rPr>
        <w:t>CL-PROC-001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证据截止日：</w:t>
      </w:r>
      <w:r>
        <w:rPr>
          <w:rFonts w:ascii="Arial Unicode MS" w:hAnsi="Arial Unicode MS"/>
          <w:color w:val="344054"/>
          <w:sz w:val="19"/>
        </w:rPr>
        <w:t>2026-06-30</w:t>
      </w:r>
    </w:p>
    <w:p>
      <w:pPr>
        <w:pStyle w:val="Caption"/>
        <w:spacing w:before="0" w:after="40" w:line="240" w:lineRule="auto"/>
      </w:pPr>
      <w:r>
        <w:rPr>
          <w:rFonts w:ascii="Arial Unicode MS" w:hAnsi="Arial Unicode MS"/>
          <w:b/>
          <w:sz w:val="19"/>
        </w:rPr>
        <w:t>交付状态：</w:t>
      </w:r>
      <w:r>
        <w:rPr>
          <w:rFonts w:ascii="Arial Unicode MS" w:hAnsi="Arial Unicode MS"/>
          <w:color w:val="344054"/>
          <w:sz w:val="19"/>
        </w:rPr>
        <w:t>存在高风险结论，未经人工闭环不得交付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pPr>
        <w:pStyle w:val="Heading1"/>
      </w:pPr>
      <w:r>
        <w:t>一、决策结论</w:t>
      </w:r>
    </w:p>
    <w:p>
      <w:pPr>
        <w:pStyle w:val="ListNumber"/>
      </w:pPr>
      <w:r>
        <w:t>评估期间为2025年7月1日至2026年6月30日。</w:t>
      </w:r>
    </w:p>
    <w:p>
      <w:pPr>
        <w:pStyle w:val="ListNumber"/>
      </w:pPr>
      <w:r>
        <w:t>年度需求为1200万个750mL双淋膜纸餐盒。</w:t>
      </w:r>
    </w:p>
    <w:p>
      <w:pPr>
        <w:pStyle w:val="ListNumber"/>
      </w:pPr>
      <w:r>
        <w:t>年度预算为1080万元。</w:t>
      </w:r>
    </w:p>
    <w:p>
      <w:pPr>
        <w:pStyle w:val="ListNumber"/>
      </w:pPr>
      <w:r>
        <w:t>采购委员会已批准供应商B占70%、供应商A占30%的正式份额。</w:t>
      </w:r>
    </w:p>
    <w:p>
      <w:pPr>
        <w:pStyle w:val="ListNumber"/>
      </w:pPr>
      <w:r>
        <w:t>切换供应商B每年可节省168万元。</w:t>
      </w:r>
    </w:p>
    <w:p>
      <w:pPr>
        <w:pStyle w:val="ListNumber"/>
      </w:pPr>
      <w:r>
        <w:t>供应商B的综合到岸成本最低。</w:t>
      </w:r>
    </w:p>
    <w:p>
      <w:pPr>
        <w:pStyle w:val="ListNumber"/>
      </w:pPr>
      <w:r>
        <w:t>三份报价均有效至2026年9月30日。</w:t>
      </w:r>
    </w:p>
    <w:p>
      <w:pPr>
        <w:pStyle w:val="ListNumber"/>
      </w:pPr>
      <w:r>
        <w:t>供应商A报价0.82元/个，含税含运。</w:t>
      </w:r>
    </w:p>
    <w:p>
      <w:pPr>
        <w:pStyle w:val="ListNumber"/>
      </w:pPr>
      <w:r>
        <w:t>供应商B报价0.68元/个，含税。</w:t>
      </w:r>
    </w:p>
    <w:p>
      <w:pPr>
        <w:pStyle w:val="ListNumber"/>
      </w:pPr>
      <w:r>
        <w:t>供应商C报价0.77元/个，含税含运。</w:t>
      </w:r>
    </w:p>
    <w:p>
      <w:pPr>
        <w:pStyle w:val="ListNumber"/>
      </w:pPr>
      <w:r>
        <w:t>供应商B报价包含运费。</w:t>
      </w:r>
    </w:p>
    <w:p>
      <w:pPr>
        <w:pStyle w:val="ListNumber"/>
      </w:pPr>
      <w:r>
        <w:t>三家比价对象均为750mL双淋膜产品。</w:t>
      </w:r>
    </w:p>
    <w:p>
      <w:pPr>
        <w:pStyle w:val="ListNumber"/>
      </w:pPr>
      <w:r>
        <w:t>供应商B的750mL产品最小起订量为10万件。</w:t>
      </w:r>
    </w:p>
    <w:p>
      <w:pPr>
        <w:pStyle w:val="ListNumber"/>
      </w:pPr>
      <w:r>
        <w:t>供应商B付款条件为30%预付、70%验收后30日支付。</w:t>
      </w:r>
    </w:p>
    <w:p>
      <w:pPr>
        <w:pStyle w:val="ListNumber"/>
      </w:pPr>
      <w:r>
        <w:t>总拥有成本测算已计入4万元制版费。</w:t>
      </w:r>
    </w:p>
    <w:p>
      <w:pPr>
        <w:pStyle w:val="Heading1"/>
      </w:pPr>
      <w:r>
        <w:t>二、履约、质量与资质</w:t>
      </w:r>
    </w:p>
    <w:p>
      <w:pPr>
        <w:pStyle w:val="ListNumber"/>
      </w:pPr>
      <w:r>
        <w:t>供应商A准时交付率为93.2%。</w:t>
      </w:r>
    </w:p>
    <w:p>
      <w:pPr>
        <w:pStyle w:val="ListNumber"/>
      </w:pPr>
      <w:r>
        <w:t>供应商B准时交付率为96.8%。</w:t>
      </w:r>
    </w:p>
    <w:p>
      <w:pPr>
        <w:pStyle w:val="ListNumber"/>
      </w:pPr>
      <w:r>
        <w:t>供应商C准时交付率为90.1%。</w:t>
      </w:r>
    </w:p>
    <w:p>
      <w:pPr>
        <w:pStyle w:val="ListNumber"/>
      </w:pPr>
      <w:r>
        <w:t>供应商B平均交付周期为10个自然日。</w:t>
      </w:r>
    </w:p>
    <w:p>
      <w:pPr>
        <w:pStyle w:val="ListNumber"/>
      </w:pPr>
      <w:r>
        <w:t>供应商B在2026年4月发生过一次重大延期。</w:t>
      </w:r>
    </w:p>
    <w:p>
      <w:pPr>
        <w:pStyle w:val="ListNumber"/>
      </w:pPr>
      <w:r>
        <w:t>供应商B质量缺陷率为0.6%。</w:t>
      </w:r>
    </w:p>
    <w:p>
      <w:pPr>
        <w:pStyle w:val="ListNumber"/>
      </w:pPr>
      <w:r>
        <w:t>供应商B质量表现为三家最佳。</w:t>
      </w:r>
    </w:p>
    <w:p>
      <w:pPr>
        <w:pStyle w:val="ListNumber"/>
      </w:pPr>
      <w:r>
        <w:t>供应商B的5万件试单已验收。</w:t>
      </w:r>
    </w:p>
    <w:p>
      <w:pPr>
        <w:pStyle w:val="ListNumber"/>
      </w:pPr>
      <w:r>
        <w:t>供应商B投诉平均关闭时间为2.1天。</w:t>
      </w:r>
    </w:p>
    <w:p>
      <w:pPr>
        <w:pStyle w:val="ListNumber"/>
      </w:pPr>
      <w:r>
        <w:t>评估期内没有食品安全事件。</w:t>
      </w:r>
    </w:p>
    <w:p>
      <w:pPr>
        <w:pStyle w:val="ListNumber"/>
      </w:pPr>
      <w:r>
        <w:t>当前检测报告是最新有效报告。</w:t>
      </w:r>
    </w:p>
    <w:p>
      <w:pPr>
        <w:pStyle w:val="ListNumber"/>
      </w:pPr>
      <w:r>
        <w:t>检测报告样品与750mL双淋膜采购品一致。</w:t>
      </w:r>
    </w:p>
    <w:p>
      <w:pPr>
        <w:pStyle w:val="ListNumber"/>
      </w:pPr>
      <w:r>
        <w:t>检测机构CMA范围覆盖该检测方法。</w:t>
      </w:r>
    </w:p>
    <w:p>
      <w:pPr>
        <w:pStyle w:val="ListNumber"/>
      </w:pPr>
      <w:r>
        <w:t>当前FSC证书有效至2027年。</w:t>
      </w:r>
    </w:p>
    <w:p>
      <w:pPr>
        <w:pStyle w:val="ListNumber"/>
      </w:pPr>
      <w:r>
        <w:t>FSC证书持有人就是供应商B合同主体博远包装有限公司。</w:t>
      </w:r>
    </w:p>
    <w:p>
      <w:pPr>
        <w:pStyle w:val="ListNumber"/>
      </w:pPr>
      <w:r>
        <w:t>供应商B的ISO 9001证书有效至2027年。</w:t>
      </w:r>
    </w:p>
    <w:p>
      <w:pPr>
        <w:pStyle w:val="ListNumber"/>
      </w:pPr>
      <w:r>
        <w:t>供应商B注册资本为3000万元。</w:t>
      </w:r>
    </w:p>
    <w:p>
      <w:pPr>
        <w:pStyle w:val="ListNumber"/>
      </w:pPr>
      <w:r>
        <w:t>供应商B月产能为800万件并已独立核验。</w:t>
      </w:r>
    </w:p>
    <w:p>
      <w:pPr>
        <w:pStyle w:val="ListNumber"/>
      </w:pPr>
      <w:r>
        <w:t>经审计月产能为600万件。</w:t>
      </w:r>
    </w:p>
    <w:p>
      <w:pPr>
        <w:pStyle w:val="ListNumber"/>
      </w:pPr>
      <w:r>
        <w:t>供应商B当前产能利用率为62%。</w:t>
      </w:r>
    </w:p>
    <w:p>
      <w:pPr>
        <w:pStyle w:val="ListNumber"/>
      </w:pPr>
      <w:r>
        <w:t>供应商B现场有两条备用产线。</w:t>
      </w:r>
    </w:p>
    <w:p>
      <w:pPr>
        <w:pStyle w:val="ListNumber"/>
      </w:pPr>
      <w:r>
        <w:t>供应商B对原材料供应商每年复审。</w:t>
      </w:r>
    </w:p>
    <w:p>
      <w:pPr>
        <w:pStyle w:val="Heading1"/>
      </w:pPr>
      <w:r>
        <w:t>三、付款、治理与交付建议</w:t>
      </w:r>
    </w:p>
    <w:p>
      <w:pPr>
        <w:pStyle w:val="ListNumber"/>
      </w:pPr>
      <w:r>
        <w:t>历史三批采购累计付款58.4万元。</w:t>
      </w:r>
    </w:p>
    <w:p>
      <w:pPr>
        <w:pStyle w:val="ListNumber"/>
      </w:pPr>
      <w:r>
        <w:t>三笔款项均支付给合同主体博远包装有限公司。</w:t>
      </w:r>
    </w:p>
    <w:p>
      <w:pPr>
        <w:pStyle w:val="ListNumber"/>
      </w:pPr>
      <w:r>
        <w:t>所有评审人员均提交利益冲突声明。</w:t>
      </w:r>
    </w:p>
    <w:p>
      <w:pPr>
        <w:pStyle w:val="ListNumber"/>
      </w:pPr>
      <w:r>
        <w:t>70%与30%的份额分配足以控制断供风险。</w:t>
      </w:r>
    </w:p>
    <w:p>
      <w:pPr>
        <w:pStyle w:val="ListNumber"/>
      </w:pPr>
      <w:r>
        <w:t>供应商B可以无条件续签。</w:t>
      </w:r>
    </w:p>
    <w:p>
      <w:pPr>
        <w:pStyle w:val="ListNumber"/>
      </w:pPr>
      <w:r>
        <w:t>本次证据截止日为2026年6月30日。</w:t>
      </w:r>
    </w:p>
    <w:p>
      <w:pPr>
        <w:pStyle w:val="ListNumber"/>
      </w:pPr>
      <w:r>
        <w:t>报告只引用了截止日前收到的17组材料。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