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年度纸餐盒采购续签决策报告</w:t>
      </w:r>
    </w:p>
    <w:p>
      <w:pPr>
        <w:jc w:val="center"/>
      </w:pPr>
      <w:r>
        <w:rPr>
          <w:b/>
        </w:rPr>
        <w:t>提交采购委员会审议</w:t>
      </w:r>
    </w:p>
    <w:p>
      <w:r>
        <w:rPr>
          <w:b/>
        </w:rPr>
        <w:t xml:space="preserve">报告目的  </w:t>
      </w:r>
      <w:r>
        <w:t>本报告汇总年度纸餐盒采购续签建议，拟作为供应商份额、成本与报价有效性决策依据。以下结论必须在交付前回到随附封闭证据包核证。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200"/>
      </w:tblGrid>
      <w:tr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决策项目</w:t>
            </w:r>
          </w:p>
        </w:tc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报告结论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100" w:after="100"/>
            </w:pPr>
            <w:r>
              <w:t>正式采购份额</w:t>
            </w:r>
          </w:p>
        </w:tc>
        <w:tc>
          <w:tcPr>
            <w:tcW w:type="dxa" w:w="7200"/>
            <w:vAlign w:val="center"/>
          </w:tcPr>
          <w:p>
            <w:pPr>
              <w:spacing w:before="100" w:after="100"/>
            </w:pPr>
            <w:r>
              <w:t>采购委员会已批准供应商B占70%、供应商A占30%的正式份额。</w:t>
            </w:r>
          </w:p>
        </w:tc>
      </w:tr>
      <w:tr>
        <w:tc>
          <w:tcPr>
            <w:tcW w:type="dxa" w:w="2376"/>
            <w:shd w:fill="EEF4F8"/>
            <w:vAlign w:val="center"/>
          </w:tcPr>
          <w:p>
            <w:pPr>
              <w:spacing w:before="100" w:after="100"/>
            </w:pPr>
            <w:r>
              <w:t>年度成本收益</w:t>
            </w:r>
          </w:p>
        </w:tc>
        <w:tc>
          <w:tcPr>
            <w:tcW w:type="dxa" w:w="7200"/>
            <w:shd w:fill="EEF4F8"/>
            <w:vAlign w:val="center"/>
          </w:tcPr>
          <w:p>
            <w:pPr>
              <w:spacing w:before="100" w:after="100"/>
            </w:pPr>
            <w:r>
              <w:t>切换供应商B每年可节省168万元。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100" w:after="100"/>
            </w:pPr>
            <w:r>
              <w:t>报价有效性</w:t>
            </w:r>
          </w:p>
        </w:tc>
        <w:tc>
          <w:tcPr>
            <w:tcW w:type="dxa" w:w="7200"/>
            <w:vAlign w:val="center"/>
          </w:tcPr>
          <w:p>
            <w:pPr>
              <w:spacing w:before="100" w:after="100"/>
            </w:pPr>
            <w:r>
              <w:t>三家供应商报价均有效至2026年9月30日。</w:t>
            </w:r>
          </w:p>
        </w:tc>
      </w:tr>
    </w:tbl>
    <w:p/>
    <w:p>
      <w:r>
        <w:rPr>
          <w:b/>
        </w:rPr>
        <w:t xml:space="preserve">提交建议  </w:t>
      </w:r>
      <w:r>
        <w:t>建议依据上述结论完成续签审批并进入合同准备。</w:t>
      </w:r>
    </w:p>
    <w:p>
      <w:pPr>
        <w:jc w:val="center"/>
      </w:pPr>
      <w:r>
        <w:rPr>
          <w:i/>
          <w:sz w:val="18"/>
        </w:rPr>
        <w:t>公开问题原型驱动｜脱敏合成测试文件｜不含客户数据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