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 TCO 差额复核说明</w:t>
      </w:r>
    </w:p>
    <w:p>
      <w:r>
        <w:t>复核对象：年度 1,200 万个 750mL 双淋膜纸餐盒采购方案。</w:t>
      </w:r>
    </w:p>
    <w:p>
      <w:r>
        <w:t>关于切换供应商B能够产生年度节省的报告结论，经统一TCO口径复核不成立。正确结论如下。</w:t>
      </w:r>
    </w:p>
    <w:p>
      <w:r>
        <w:t>统一含税、运费和制版费摊销口径后，供应商B相对供应商A的年度成本增加额为721,600元，即供应商B比供应商A每年多支出72.16万元。</w:t>
      </w:r>
    </w:p>
    <w:p>
      <w:r>
        <w:t>复核公式：(0.76×1.13 + 0.018 + 40,000÷12,000,000 − 0.82) × 12,000,000 = 721,600 元。</w:t>
      </w:r>
    </w:p>
    <w:p>
      <w:r>
        <w:t>数据来源：02_三家供应商报价与TCO测算.xlsx（公式说明!C3）。</w:t>
      </w:r>
    </w:p>
    <w:p>
      <w:r>
        <w:t>公开问题原型驱动｜脱敏合成测试文件｜不含客户数据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