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42C58">
      <w:pPr>
        <w:pStyle w:val="31"/>
        <w:jc w:val="center"/>
      </w:pPr>
      <w:r>
        <w:t>红利策略 ETF — RSI 双路径买入信号策略</w:t>
      </w:r>
    </w:p>
    <w:p w14:paraId="12C8F673">
      <w:pPr>
        <w:jc w:val="center"/>
      </w:pPr>
      <w:r>
        <w:rPr>
          <w:i/>
        </w:rPr>
        <w:t>适用范围：红利策略 ETF / 联接基金</w:t>
      </w:r>
    </w:p>
    <w:p w14:paraId="14EE3FEC">
      <w:pPr>
        <w:pStyle w:val="3"/>
      </w:pPr>
      <w:r>
        <w:t>一、背景</w:t>
      </w:r>
    </w:p>
    <w:p w14:paraId="2CAF609B">
      <w:r>
        <w:t>对 11 支红利策略 ETF（含联接基金）的全量历史数据（累计净值口径，含分红总回报）进行了 25 组 RSI 参数组合的回测。日线测试 6/14/21 日 × 5 档观察点（15/20/25/30/35），周线测试 7/14 周 × 5 档观察点（30/35/40/45/50）。信号规则：RSI 首次跌破观察点触发买入，RSI 回升至「观察点+5」上方后重新激活。前向收益覆盖 5/10/20/60/120/250/550 个交易日，共 7 个持有周期。</w:t>
      </w:r>
    </w:p>
    <w:p w14:paraId="16FE3DDF">
      <w:r>
        <w:t>重要限定：本次回测的 11 支产品均为红利策略型基金，具有低波动、高分红、长期趋势向上的共同特征。以下结论仅适用于同类红利策略产品，不可直接外推至成长型、周期型或其他风格的基金。红利品种的 RSI 值域天然偏窄（通常在 25-75 之间），观察点的设置隐含了这一前提。</w:t>
      </w:r>
    </w:p>
    <w:p w14:paraId="0504E5F6">
      <w:pPr>
        <w:pStyle w:val="3"/>
      </w:pPr>
      <w:r>
        <w:t>二、核心发现</w:t>
      </w:r>
    </w:p>
    <w:p w14:paraId="57F7E926">
      <w:r>
        <w:t>在红利策略这个品类中，RSI 信号的收益与频率呈跷跷板关系：观察点越低，触发条件越苛刻，信号越稀有，但每次信号后的多周期收益越高；观察点越高，信号越密集，但单次质量越低。不存在全局唯一最优解，取决于资金策略和收益评价维度。</w:t>
      </w:r>
    </w:p>
    <w:p w14:paraId="03EA3985">
      <w:pPr>
        <w:pStyle w:val="3"/>
      </w:pPr>
      <w:r>
        <w:t>三、两条评价维度</w:t>
      </w:r>
    </w:p>
    <w:p w14:paraId="541E9410">
      <w:pPr>
        <w:pStyle w:val="4"/>
      </w:pPr>
      <w:r>
        <w:t>3.1 实操效能（年化预期收益）</w:t>
      </w:r>
    </w:p>
    <w:p w14:paraId="22F42E58">
      <w:r>
        <w:t>公式：年化预期收益 = 信号后</w:t>
      </w:r>
      <w:r>
        <w:rPr>
          <w:rFonts w:hint="eastAsia" w:eastAsia="宋体"/>
          <w:lang w:val="en-US" w:eastAsia="zh-CN"/>
        </w:rPr>
        <w:t>如</w:t>
      </w:r>
      <w:bookmarkStart w:id="0" w:name="_GoBack"/>
      <w:bookmarkEnd w:id="0"/>
      <w:r>
        <w:t xml:space="preserve"> 20 日平均收益 × 每产品年均信号次数。这个指标综合衡量信号质量和信号密度，适合评估高频、小额、多次投入的策略。在红利策略品类中，6日 RSI 在这个维度上全面占优——靠频率累积复利。</w:t>
      </w:r>
    </w:p>
    <w:p w14:paraId="7698AC73">
      <w:pPr>
        <w:pStyle w:val="4"/>
      </w:pPr>
      <w:r>
        <w:t>3.2 单次信号质量（多周期综合收益）</w:t>
      </w:r>
    </w:p>
    <w:p w14:paraId="23D5C48A">
      <w:r>
        <w:t>不看信号次数，只看每次信号在 20日 / 120日 / 250日 / 550日 多个持有周期下的平均收益。这个维度适合评估低频、重仓、大资金投入的策略。由于红利策略产品本身长期趋势向上（各参数组合 550日收益均在 27-40% 区间），单次信号的核心价值在于：在长期向上的趋势里，帮你找到一个相对更便宜的入场位置。年化预期收益公式将「单次收益 × 次数」会低估低频重仓策略的真实价值——它不是每年抓 N 次小机会，而是每年抓 1-2 次大机会，每次投入的权重完全不同。</w:t>
      </w:r>
    </w:p>
    <w:p w14:paraId="16DF89F8">
      <w:pPr>
        <w:pStyle w:val="3"/>
      </w:pPr>
      <w:r>
        <w:t>四、双路径框架</w:t>
      </w:r>
    </w:p>
    <w:p w14:paraId="3F150976">
      <w:pPr>
        <w:pStyle w:val="4"/>
      </w:pPr>
      <w:r>
        <w:t>4.1 路径一：高频捕捉小波段</w:t>
      </w:r>
    </w:p>
    <w:p w14:paraId="38F55D1B">
      <w:r>
        <w:t>核心逻辑：利用 6日 RSI 对短期价格波动的敏感性，在红利策略日线级别捕捉超卖反弹。红利品种日波动通常不超过 0.5%，6日 RSI 的灵敏度恰好能捕捉这些微小的定价偏差。信号密度高，单次收益适中，靠复利累积。适合可频繁操作的小批资金。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1C4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6065F8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13D7DC1C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17782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A03C7C">
            <w:pPr>
              <w:spacing w:after="0" w:line="240" w:lineRule="auto"/>
            </w:pPr>
            <w:r>
              <w:t>RSI 参数</w:t>
            </w:r>
          </w:p>
        </w:tc>
        <w:tc>
          <w:tcPr>
            <w:tcW w:w="4320" w:type="dxa"/>
          </w:tcPr>
          <w:p w14:paraId="326798EC">
            <w:pPr>
              <w:spacing w:after="0" w:line="240" w:lineRule="auto"/>
            </w:pPr>
            <w:r>
              <w:t>6日 / 观察点 25</w:t>
            </w:r>
          </w:p>
        </w:tc>
      </w:tr>
      <w:tr w14:paraId="72EEC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F1C98C">
            <w:pPr>
              <w:spacing w:after="0" w:line="240" w:lineRule="auto"/>
            </w:pPr>
            <w:r>
              <w:t>定位</w:t>
            </w:r>
          </w:p>
        </w:tc>
        <w:tc>
          <w:tcPr>
            <w:tcW w:w="4320" w:type="dxa"/>
          </w:tcPr>
          <w:p w14:paraId="47F7C88F">
            <w:pPr>
              <w:spacing w:after="0" w:line="240" w:lineRule="auto"/>
            </w:pPr>
            <w:r>
              <w:t>红利策略日线级别短期超卖反弹</w:t>
            </w:r>
          </w:p>
        </w:tc>
      </w:tr>
      <w:tr w14:paraId="645AE8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49DFB8">
            <w:pPr>
              <w:spacing w:after="0" w:line="240" w:lineRule="auto"/>
            </w:pPr>
            <w:r>
              <w:t>资金策略</w:t>
            </w:r>
          </w:p>
        </w:tc>
        <w:tc>
          <w:tcPr>
            <w:tcW w:w="4320" w:type="dxa"/>
          </w:tcPr>
          <w:p w14:paraId="362E658A">
            <w:pPr>
              <w:spacing w:after="0" w:line="240" w:lineRule="auto"/>
            </w:pPr>
            <w:r>
              <w:t>散点式投入小批资金，高频滚动</w:t>
            </w:r>
          </w:p>
        </w:tc>
      </w:tr>
      <w:tr w14:paraId="7A84C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615D54">
            <w:pPr>
              <w:spacing w:after="0" w:line="240" w:lineRule="auto"/>
            </w:pPr>
            <w:r>
              <w:t>年均信号</w:t>
            </w:r>
          </w:p>
        </w:tc>
        <w:tc>
          <w:tcPr>
            <w:tcW w:w="4320" w:type="dxa"/>
          </w:tcPr>
          <w:p w14:paraId="563076C1">
            <w:pPr>
              <w:spacing w:after="0" w:line="240" w:lineRule="auto"/>
            </w:pPr>
            <w:r>
              <w:t>5.9 次（约每 2 月一次）</w:t>
            </w:r>
          </w:p>
        </w:tc>
      </w:tr>
      <w:tr w14:paraId="443A7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C90FDE">
            <w:pPr>
              <w:spacing w:after="0" w:line="240" w:lineRule="auto"/>
            </w:pPr>
            <w:r>
              <w:t>回测收益</w:t>
            </w:r>
          </w:p>
        </w:tc>
        <w:tc>
          <w:tcPr>
            <w:tcW w:w="4320" w:type="dxa"/>
          </w:tcPr>
          <w:p w14:paraId="524D2C82">
            <w:pPr>
              <w:spacing w:after="0" w:line="240" w:lineRule="auto"/>
            </w:pPr>
            <w:r>
              <w:t>20日 +2.9% / 120日 +9.1% / 250日 +18.4% / 550日 +29.7%</w:t>
            </w:r>
          </w:p>
        </w:tc>
      </w:tr>
      <w:tr w14:paraId="395DCC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65B248">
            <w:pPr>
              <w:spacing w:after="0" w:line="240" w:lineRule="auto"/>
            </w:pPr>
            <w:r>
              <w:t>胜率</w:t>
            </w:r>
          </w:p>
        </w:tc>
        <w:tc>
          <w:tcPr>
            <w:tcW w:w="4320" w:type="dxa"/>
          </w:tcPr>
          <w:p w14:paraId="218495CE">
            <w:pPr>
              <w:spacing w:after="0" w:line="240" w:lineRule="auto"/>
            </w:pPr>
            <w:r>
              <w:t>79%（20日窗口）</w:t>
            </w:r>
          </w:p>
        </w:tc>
      </w:tr>
      <w:tr w14:paraId="198C2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474CD9">
            <w:pPr>
              <w:spacing w:after="0" w:line="240" w:lineRule="auto"/>
            </w:pPr>
            <w:r>
              <w:t>年化预期（实操效能）</w:t>
            </w:r>
          </w:p>
        </w:tc>
        <w:tc>
          <w:tcPr>
            <w:tcW w:w="4320" w:type="dxa"/>
          </w:tcPr>
          <w:p w14:paraId="1A305F8C">
            <w:pPr>
              <w:spacing w:after="0" w:line="240" w:lineRule="auto"/>
            </w:pPr>
            <w:r>
              <w:t>17.4%</w:t>
            </w:r>
          </w:p>
        </w:tc>
      </w:tr>
      <w:tr w14:paraId="4FF8CE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AE6C2F">
            <w:pPr>
              <w:spacing w:after="0" w:line="240" w:lineRule="auto"/>
            </w:pPr>
            <w:r>
              <w:t>评价</w:t>
            </w:r>
          </w:p>
        </w:tc>
        <w:tc>
          <w:tcPr>
            <w:tcW w:w="4320" w:type="dxa"/>
          </w:tcPr>
          <w:p w14:paraId="35CE80EB">
            <w:pPr>
              <w:spacing w:after="0" w:line="240" w:lineRule="auto"/>
            </w:pPr>
            <w:r>
              <w:t>红利策略日线最优解。同等年化预期下，比 6日/30 胜率高出 7 个百分点。</w:t>
            </w:r>
          </w:p>
        </w:tc>
      </w:tr>
    </w:tbl>
    <w:p w14:paraId="52A891E5"/>
    <w:p w14:paraId="5516A852">
      <w:pPr>
        <w:pStyle w:val="4"/>
      </w:pPr>
      <w:r>
        <w:t>4.2 路径二：低频等待大机会</w:t>
      </w:r>
    </w:p>
    <w:p w14:paraId="54441A84">
      <w:r>
        <w:t>核心逻辑：红利策略周线 RSI 反映的是数月级别的趋势位置。由于红利品种波动低，周线 RSI 很少出现极端值，因此一旦触及低位观察点，往往意味着经历了一段持续的估值压缩，是相对确定的「便宜」窗口。这条路径不看年化预期收益，而是综合评判信号在 20日、120日、250日、550日 四个持有周期下的全周期收益表现。适合资金量有限、追求单次出手质量的红利策略重仓投资。</w:t>
      </w:r>
    </w:p>
    <w:p w14:paraId="2ADDE088"/>
    <w:p w14:paraId="37C850E3">
      <w:r>
        <w:rPr>
          <w:b/>
        </w:rPr>
        <w:t>关键思考：为何不按「年化预期收益」评价低频路径？</w:t>
      </w:r>
    </w:p>
    <w:p w14:paraId="1E73CFFB">
      <w:r>
        <w:t>在讨论初期，倾向于用「单次收益 × 年均次数 = 年化预期收益」作为统一排名标准。但这个公式隐含假设每次投入等额、全年均匀分布——这适用于路径一（高频散投），却不适用于路径二。路径二中，每次信号对应的是集中重仓——资金权重远高于路径一，且全年仅 1-2 次出手。把单次重仓的收益乘以 0.8 或 1.9（年均次数），然后和路径一的 5.9 次比乘法——这是在用高频的尺子量低频的价值，逻辑上不成立。正确的评价维度是：不看次数，直接比较各观察点在 20日/120日/250日/550日 四个持有周期下的收益率。重仓策略真正关心的是：入场后，短期、中期、长期分别是什么结果。</w:t>
      </w:r>
    </w:p>
    <w:p w14:paraId="5E82F392">
      <w:r>
        <w:t>周线 7周 RSI 在红利策略中有三个候选观察点：30、35、40，分别对应不同的苛刻程度。观察点越低，触发的价格位置越深，信号越稀有，但每个时间维度的收益越高。三者不存在绝对优劣，而是「苛刻程度」的递进选择。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B47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5F641F">
            <w:pPr>
              <w:spacing w:after="0" w:line="240" w:lineRule="auto"/>
            </w:pPr>
          </w:p>
        </w:tc>
        <w:tc>
          <w:tcPr>
            <w:tcW w:w="2160" w:type="dxa"/>
          </w:tcPr>
          <w:p w14:paraId="752D6452">
            <w:pPr>
              <w:spacing w:after="0" w:line="240" w:lineRule="auto"/>
            </w:pPr>
            <w:r>
              <w:rPr>
                <w:b/>
              </w:rPr>
              <w:t>7周/30</w:t>
            </w:r>
          </w:p>
        </w:tc>
        <w:tc>
          <w:tcPr>
            <w:tcW w:w="2160" w:type="dxa"/>
          </w:tcPr>
          <w:p w14:paraId="2CAC28F5">
            <w:pPr>
              <w:spacing w:after="0" w:line="240" w:lineRule="auto"/>
            </w:pPr>
            <w:r>
              <w:rPr>
                <w:b/>
              </w:rPr>
              <w:t>7周/35</w:t>
            </w:r>
          </w:p>
        </w:tc>
        <w:tc>
          <w:tcPr>
            <w:tcW w:w="2160" w:type="dxa"/>
          </w:tcPr>
          <w:p w14:paraId="7BDDDDAF">
            <w:pPr>
              <w:spacing w:after="0" w:line="240" w:lineRule="auto"/>
            </w:pPr>
            <w:r>
              <w:rPr>
                <w:b/>
              </w:rPr>
              <w:t>7周/40</w:t>
            </w:r>
          </w:p>
        </w:tc>
      </w:tr>
      <w:tr w14:paraId="02AEE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FD335D">
            <w:pPr>
              <w:spacing w:after="0" w:line="240" w:lineRule="auto"/>
            </w:pPr>
            <w:r>
              <w:t>20日收益</w:t>
            </w:r>
          </w:p>
        </w:tc>
        <w:tc>
          <w:tcPr>
            <w:tcW w:w="2160" w:type="dxa"/>
          </w:tcPr>
          <w:p w14:paraId="687474CA">
            <w:pPr>
              <w:spacing w:after="0" w:line="240" w:lineRule="auto"/>
            </w:pPr>
            <w:r>
              <w:t>+5.0%</w:t>
            </w:r>
          </w:p>
        </w:tc>
        <w:tc>
          <w:tcPr>
            <w:tcW w:w="2160" w:type="dxa"/>
          </w:tcPr>
          <w:p w14:paraId="17630404">
            <w:pPr>
              <w:spacing w:after="0" w:line="240" w:lineRule="auto"/>
            </w:pPr>
            <w:r>
              <w:t>+3.3%</w:t>
            </w:r>
          </w:p>
        </w:tc>
        <w:tc>
          <w:tcPr>
            <w:tcW w:w="2160" w:type="dxa"/>
          </w:tcPr>
          <w:p w14:paraId="4A51D242">
            <w:pPr>
              <w:spacing w:after="0" w:line="240" w:lineRule="auto"/>
            </w:pPr>
            <w:r>
              <w:t>+3.4%</w:t>
            </w:r>
          </w:p>
        </w:tc>
      </w:tr>
      <w:tr w14:paraId="711BBC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3F094A">
            <w:pPr>
              <w:spacing w:after="0" w:line="240" w:lineRule="auto"/>
            </w:pPr>
            <w:r>
              <w:t>120日收益</w:t>
            </w:r>
          </w:p>
        </w:tc>
        <w:tc>
          <w:tcPr>
            <w:tcW w:w="2160" w:type="dxa"/>
          </w:tcPr>
          <w:p w14:paraId="4958180C">
            <w:pPr>
              <w:spacing w:after="0" w:line="240" w:lineRule="auto"/>
            </w:pPr>
            <w:r>
              <w:t>+10.7%</w:t>
            </w:r>
          </w:p>
        </w:tc>
        <w:tc>
          <w:tcPr>
            <w:tcW w:w="2160" w:type="dxa"/>
          </w:tcPr>
          <w:p w14:paraId="619F732C">
            <w:pPr>
              <w:spacing w:after="0" w:line="240" w:lineRule="auto"/>
            </w:pPr>
            <w:r>
              <w:t>+8.3%</w:t>
            </w:r>
          </w:p>
        </w:tc>
        <w:tc>
          <w:tcPr>
            <w:tcW w:w="2160" w:type="dxa"/>
          </w:tcPr>
          <w:p w14:paraId="4B443049">
            <w:pPr>
              <w:spacing w:after="0" w:line="240" w:lineRule="auto"/>
            </w:pPr>
            <w:r>
              <w:t>+8.3%</w:t>
            </w:r>
          </w:p>
        </w:tc>
      </w:tr>
      <w:tr w14:paraId="0EE59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39A7D6">
            <w:pPr>
              <w:spacing w:after="0" w:line="240" w:lineRule="auto"/>
            </w:pPr>
            <w:r>
              <w:t>250日收益</w:t>
            </w:r>
          </w:p>
        </w:tc>
        <w:tc>
          <w:tcPr>
            <w:tcW w:w="2160" w:type="dxa"/>
          </w:tcPr>
          <w:p w14:paraId="55394F35">
            <w:pPr>
              <w:spacing w:after="0" w:line="240" w:lineRule="auto"/>
            </w:pPr>
            <w:r>
              <w:t>+16.9%</w:t>
            </w:r>
          </w:p>
        </w:tc>
        <w:tc>
          <w:tcPr>
            <w:tcW w:w="2160" w:type="dxa"/>
          </w:tcPr>
          <w:p w14:paraId="0F466DEA">
            <w:pPr>
              <w:spacing w:after="0" w:line="240" w:lineRule="auto"/>
            </w:pPr>
            <w:r>
              <w:t>+15.6%</w:t>
            </w:r>
          </w:p>
        </w:tc>
        <w:tc>
          <w:tcPr>
            <w:tcW w:w="2160" w:type="dxa"/>
          </w:tcPr>
          <w:p w14:paraId="75F17488">
            <w:pPr>
              <w:spacing w:after="0" w:line="240" w:lineRule="auto"/>
            </w:pPr>
            <w:r>
              <w:t>+17.5%</w:t>
            </w:r>
          </w:p>
        </w:tc>
      </w:tr>
      <w:tr w14:paraId="6B902C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EECFF4">
            <w:pPr>
              <w:spacing w:after="0" w:line="240" w:lineRule="auto"/>
            </w:pPr>
            <w:r>
              <w:t>550日收益</w:t>
            </w:r>
          </w:p>
        </w:tc>
        <w:tc>
          <w:tcPr>
            <w:tcW w:w="2160" w:type="dxa"/>
          </w:tcPr>
          <w:p w14:paraId="6F26D8B9">
            <w:pPr>
              <w:spacing w:after="0" w:line="240" w:lineRule="auto"/>
            </w:pPr>
            <w:r>
              <w:t>+39.9%</w:t>
            </w:r>
          </w:p>
        </w:tc>
        <w:tc>
          <w:tcPr>
            <w:tcW w:w="2160" w:type="dxa"/>
          </w:tcPr>
          <w:p w14:paraId="6B23F0E8">
            <w:pPr>
              <w:spacing w:after="0" w:line="240" w:lineRule="auto"/>
            </w:pPr>
            <w:r>
              <w:t>+29.0%</w:t>
            </w:r>
          </w:p>
        </w:tc>
        <w:tc>
          <w:tcPr>
            <w:tcW w:w="2160" w:type="dxa"/>
          </w:tcPr>
          <w:p w14:paraId="170FC3EC">
            <w:pPr>
              <w:spacing w:after="0" w:line="240" w:lineRule="auto"/>
            </w:pPr>
            <w:r>
              <w:t>+28.9%</w:t>
            </w:r>
          </w:p>
        </w:tc>
      </w:tr>
      <w:tr w14:paraId="5A2376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8FF684">
            <w:pPr>
              <w:spacing w:after="0" w:line="240" w:lineRule="auto"/>
            </w:pPr>
            <w:r>
              <w:t>胜率（20日）</w:t>
            </w:r>
          </w:p>
        </w:tc>
        <w:tc>
          <w:tcPr>
            <w:tcW w:w="2160" w:type="dxa"/>
          </w:tcPr>
          <w:p w14:paraId="54433D7C">
            <w:pPr>
              <w:spacing w:after="0" w:line="240" w:lineRule="auto"/>
            </w:pPr>
            <w:r>
              <w:t>87%</w:t>
            </w:r>
          </w:p>
        </w:tc>
        <w:tc>
          <w:tcPr>
            <w:tcW w:w="2160" w:type="dxa"/>
          </w:tcPr>
          <w:p w14:paraId="4F801A37">
            <w:pPr>
              <w:spacing w:after="0" w:line="240" w:lineRule="auto"/>
            </w:pPr>
            <w:r>
              <w:t>76%</w:t>
            </w:r>
          </w:p>
        </w:tc>
        <w:tc>
          <w:tcPr>
            <w:tcW w:w="2160" w:type="dxa"/>
          </w:tcPr>
          <w:p w14:paraId="2031E84D">
            <w:pPr>
              <w:spacing w:after="0" w:line="240" w:lineRule="auto"/>
            </w:pPr>
            <w:r>
              <w:t>70%</w:t>
            </w:r>
          </w:p>
        </w:tc>
      </w:tr>
      <w:tr w14:paraId="3C068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9F6B86">
            <w:pPr>
              <w:spacing w:after="0" w:line="240" w:lineRule="auto"/>
            </w:pPr>
            <w:r>
              <w:t>年均信号</w:t>
            </w:r>
          </w:p>
        </w:tc>
        <w:tc>
          <w:tcPr>
            <w:tcW w:w="2160" w:type="dxa"/>
          </w:tcPr>
          <w:p w14:paraId="7FDFC5AF">
            <w:pPr>
              <w:spacing w:after="0" w:line="240" w:lineRule="auto"/>
            </w:pPr>
            <w:r>
              <w:t>0.8 次</w:t>
            </w:r>
          </w:p>
        </w:tc>
        <w:tc>
          <w:tcPr>
            <w:tcW w:w="2160" w:type="dxa"/>
          </w:tcPr>
          <w:p w14:paraId="4D4976D1">
            <w:pPr>
              <w:spacing w:after="0" w:line="240" w:lineRule="auto"/>
            </w:pPr>
            <w:r>
              <w:t>1.4 次</w:t>
            </w:r>
          </w:p>
        </w:tc>
        <w:tc>
          <w:tcPr>
            <w:tcW w:w="2160" w:type="dxa"/>
          </w:tcPr>
          <w:p w14:paraId="32A72D45">
            <w:pPr>
              <w:spacing w:after="0" w:line="240" w:lineRule="auto"/>
            </w:pPr>
            <w:r>
              <w:t>1.9 次</w:t>
            </w:r>
          </w:p>
        </w:tc>
      </w:tr>
    </w:tbl>
    <w:p w14:paraId="34B334E4"/>
    <w:p w14:paraId="7B80C04B">
      <w:r>
        <w:t>三档解读（均基于红利策略历史数据）：</w:t>
      </w:r>
    </w:p>
    <w:p w14:paraId="225530AF">
      <w:pPr>
        <w:pStyle w:val="16"/>
      </w:pPr>
      <w:r>
        <w:t>30 — 最苛刻。所有时间维度收益均为最高（20日 +5.0%、550日 +39.9%、胜率 87%）。年均仅 0.8 次，在红利策略的低波动特性下，这种深度回调机会稀缺。适合极致耐心、资金充裕时等待最佳击球点。</w:t>
      </w:r>
    </w:p>
    <w:p w14:paraId="5C22E8B6">
      <w:pPr>
        <w:pStyle w:val="16"/>
      </w:pPr>
      <w:r>
        <w:t>35 — 折中。收益略低于 30，但信号密度翻倍至 1.4 次/年，一年至少保证一次出手。胜率 76%。在质量与可操作性之间较为均衡。</w:t>
      </w:r>
    </w:p>
    <w:p w14:paraId="6CD658BD">
      <w:pPr>
        <w:pStyle w:val="16"/>
      </w:pPr>
      <w:r>
        <w:t>40 — 当前采用。年均约 2 次信号，250日收益（+17.5%）微优于 35。胜率 70% 为三档最低，但「一年两次」的节奏更符合实操习惯。选择 40 的本质是：在红利策略这个品类中，愿意牺牲部分信号纯度，换取可预期的出手节奏。</w:t>
      </w:r>
    </w:p>
    <w:p w14:paraId="3961B199"/>
    <w:p w14:paraId="4B495BDB">
      <w:r>
        <w:t>建议：三个观察点均可纳入红利策略日常监控，不锁定单一值。30 出现时高度重视，35/40 出现时正常执行。实际出手力度视当前持仓比例和资金余量动态调整。从激进到稳健的排序为：30 → 35 → 40。</w:t>
      </w:r>
    </w:p>
    <w:p w14:paraId="63F96DB0">
      <w:pPr>
        <w:pStyle w:val="4"/>
      </w:pPr>
      <w:r>
        <w:t>4.3 14周 RSI：不适用于红利策略</w:t>
      </w:r>
    </w:p>
    <w:p w14:paraId="47FA50F9">
      <w:r>
        <w:t>14周 RSI（观察点 30-50）在全部 25 组参数中未进入前 15。14 周计算窗口约 3.5 个月，对红利策略这类低波动品种而言，RSI 值域进一步收窄，极其难以触及任何观察点。信号极度稀疏（最优档年均 &lt;1 次），且各持有周期收益均不优于 7 周对应观察点。结论：14周 RSI 不适合用于红利策略的买入信号。</w:t>
      </w:r>
    </w:p>
    <w:p w14:paraId="1CD7331C">
      <w:pPr>
        <w:pStyle w:val="3"/>
      </w:pPr>
      <w:r>
        <w:t>五、总结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3613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309D4C">
            <w:pPr>
              <w:spacing w:after="0" w:line="240" w:lineRule="auto"/>
            </w:pPr>
          </w:p>
        </w:tc>
        <w:tc>
          <w:tcPr>
            <w:tcW w:w="2880" w:type="dxa"/>
          </w:tcPr>
          <w:p w14:paraId="563A47E7">
            <w:pPr>
              <w:spacing w:after="0" w:line="240" w:lineRule="auto"/>
            </w:pPr>
            <w:r>
              <w:rPr>
                <w:b/>
              </w:rPr>
              <w:t>路径一：高频小波段</w:t>
            </w:r>
          </w:p>
        </w:tc>
        <w:tc>
          <w:tcPr>
            <w:tcW w:w="2880" w:type="dxa"/>
          </w:tcPr>
          <w:p w14:paraId="4A8936BD">
            <w:pPr>
              <w:spacing w:after="0" w:line="240" w:lineRule="auto"/>
            </w:pPr>
            <w:r>
              <w:rPr>
                <w:b/>
              </w:rPr>
              <w:t>路径二：低频大机会</w:t>
            </w:r>
          </w:p>
        </w:tc>
      </w:tr>
      <w:tr w14:paraId="445E8F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CC2E6D">
            <w:pPr>
              <w:spacing w:after="0" w:line="240" w:lineRule="auto"/>
            </w:pPr>
            <w:r>
              <w:t>RSI 参数</w:t>
            </w:r>
          </w:p>
        </w:tc>
        <w:tc>
          <w:tcPr>
            <w:tcW w:w="2880" w:type="dxa"/>
          </w:tcPr>
          <w:p w14:paraId="07336D66">
            <w:pPr>
              <w:spacing w:after="0" w:line="240" w:lineRule="auto"/>
            </w:pPr>
            <w:r>
              <w:t>6日 / 观察点 25</w:t>
            </w:r>
          </w:p>
        </w:tc>
        <w:tc>
          <w:tcPr>
            <w:tcW w:w="2880" w:type="dxa"/>
          </w:tcPr>
          <w:p w14:paraId="2F596AB1">
            <w:pPr>
              <w:spacing w:after="0" w:line="240" w:lineRule="auto"/>
            </w:pPr>
            <w:r>
              <w:t>7周 / 观察点 40（兼监控 35、30）</w:t>
            </w:r>
          </w:p>
        </w:tc>
      </w:tr>
      <w:tr w14:paraId="293B39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9B2E6E">
            <w:pPr>
              <w:spacing w:after="0" w:line="240" w:lineRule="auto"/>
            </w:pPr>
            <w:r>
              <w:t>定位</w:t>
            </w:r>
          </w:p>
        </w:tc>
        <w:tc>
          <w:tcPr>
            <w:tcW w:w="2880" w:type="dxa"/>
          </w:tcPr>
          <w:p w14:paraId="3531874D">
            <w:pPr>
              <w:spacing w:after="0" w:line="240" w:lineRule="auto"/>
            </w:pPr>
            <w:r>
              <w:t>红利策略日线超卖反弹</w:t>
            </w:r>
            <w:r>
              <w:br w:type="textWrapping"/>
            </w:r>
            <w:r>
              <w:t>散投小批资金，高频复利</w:t>
            </w:r>
          </w:p>
        </w:tc>
        <w:tc>
          <w:tcPr>
            <w:tcW w:w="2880" w:type="dxa"/>
          </w:tcPr>
          <w:p w14:paraId="38C72D69">
            <w:pPr>
              <w:spacing w:after="0" w:line="240" w:lineRule="auto"/>
            </w:pPr>
            <w:r>
              <w:t>红利策略周线深度回调</w:t>
            </w:r>
            <w:r>
              <w:br w:type="textWrapping"/>
            </w:r>
            <w:r>
              <w:t>集中重仓，等待低估窗口</w:t>
            </w:r>
          </w:p>
        </w:tc>
      </w:tr>
      <w:tr w14:paraId="583A93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CD494B">
            <w:pPr>
              <w:spacing w:after="0" w:line="240" w:lineRule="auto"/>
            </w:pPr>
          </w:p>
        </w:tc>
        <w:tc>
          <w:tcPr>
            <w:tcW w:w="2880" w:type="dxa"/>
          </w:tcPr>
          <w:p w14:paraId="4465D8D9">
            <w:pPr>
              <w:spacing w:after="0" w:line="240" w:lineRule="auto"/>
            </w:pPr>
          </w:p>
        </w:tc>
        <w:tc>
          <w:tcPr>
            <w:tcW w:w="2880" w:type="dxa"/>
          </w:tcPr>
          <w:p w14:paraId="1B4FEA85">
            <w:pPr>
              <w:spacing w:after="0" w:line="240" w:lineRule="auto"/>
            </w:pPr>
          </w:p>
        </w:tc>
      </w:tr>
    </w:tbl>
    <w:p w14:paraId="10762048"/>
    <w:p w14:paraId="7098D989">
      <w:r>
        <w:t>两条路径在红利策略中互补：日线高频捕捉短期定价偏差、周线低频瞄准中期估值洼地。两者信号来源不同（日线 vs 周线），信息不重叠。实际操作中可并行使用，根据当前持仓和资金情况决定每条路径的投入比例。</w:t>
      </w:r>
    </w:p>
    <w:p w14:paraId="2C87B947">
      <w:pPr>
        <w:pStyle w:val="3"/>
      </w:pPr>
      <w:r>
        <w:t>六、适用范围与局限</w:t>
      </w:r>
    </w:p>
    <w:p w14:paraId="2C58BC78">
      <w:r>
        <w:t>本研究的全部数据和结论基于以下 11 支红利策略产品：国新红利、沪深港红利50、港股通央企红利、电力公用事业、中证红利、国企红利、中泰红利优选、红利低波(易方达)、红利低波100、东证红利低波、红利低波50。</w:t>
      </w:r>
    </w:p>
    <w:p w14:paraId="0F30161F">
      <w:r>
        <w:t>局限声明：</w:t>
      </w:r>
    </w:p>
    <w:p w14:paraId="476A377D">
      <w:pPr>
        <w:pStyle w:val="16"/>
      </w:pPr>
      <w:r>
        <w:t>品种局限：结论仅适用于红利策略类 ETF/联接基金，不适用于成长型、周期型、行业主题型或其他风格的产品。不同品类的 RSI 分布特征不同，观察点不可直接照搬。</w:t>
      </w:r>
    </w:p>
    <w:p w14:paraId="5C262477">
      <w:pPr>
        <w:pStyle w:val="16"/>
      </w:pPr>
      <w:r>
        <w:t>数据局限：部分产品历史不足 2 年（021550、020602、021961、021881），长周期（250日/550日）的收益数据样本偏少，置信度较低。</w:t>
      </w:r>
    </w:p>
    <w:p w14:paraId="7517C565">
      <w:pPr>
        <w:pStyle w:val="16"/>
      </w:pPr>
      <w:r>
        <w:t>幸存者偏差：样本均为存续产品，未包含已清盘基金，回测收益可能偏高。</w:t>
      </w:r>
    </w:p>
    <w:p w14:paraId="6E970352">
      <w:pPr>
        <w:pStyle w:val="16"/>
      </w:pPr>
      <w:r>
        <w:t>未考虑交易成本：场外基金申赎费、场内 ETF 佣金未计入收益，实际回报低于回测值。</w:t>
      </w:r>
    </w:p>
    <w:p w14:paraId="32D4622B">
      <w:pPr>
        <w:pStyle w:val="3"/>
      </w:pPr>
      <w:r>
        <w:t>七、数据口径</w:t>
      </w:r>
    </w:p>
    <w:p w14:paraId="56CB5BDB">
      <w:r>
        <w:t>全部产品统一使用天天基金「累计净值」（含分红再投资），日收益率自动包含分红。回测脚本（backtest_rsi.py）与前端报告（generate_report.py）口径一致。</w:t>
      </w:r>
    </w:p>
    <w:p w14:paraId="4A6AF90B"/>
    <w:p w14:paraId="4C42F038">
      <w:pPr>
        <w:jc w:val="right"/>
      </w:pPr>
      <w:r>
        <w:rPr>
          <w:i/>
        </w:rPr>
        <w:t>2026-05-30 · 基于 11 支红利策略 ETF 全量历史数据回测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0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885</Words>
  <Characters>1002</Characters>
  <Lines>0</Lines>
  <Paragraphs>0</Paragraphs>
  <TotalTime>1</TotalTime>
  <ScaleCrop>false</ScaleCrop>
  <LinksUpToDate>false</LinksUpToDate>
  <CharactersWithSpaces>1077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arC.Y.CrazzZ</cp:lastModifiedBy>
  <dcterms:modified xsi:type="dcterms:W3CDTF">2026-05-30T14:14:39Z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eyJoZGlkIjoiODViY2JkMjU3NGYzZTEwMzZmMGFkZWViYmNkYWU3NDIiLCJ1c2VySWQiOiIzMTE2MjIwNTAifQ==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9E047E4559A44045853A2B62C66FBE9A_12</vt:lpwstr>
  </property>
</Properties>
</file>