
<file path=[Content_Types].xml><?xml version="1.0" encoding="utf-8"?>
<Types xmlns="http://schemas.openxmlformats.org/package/2006/content-types">
  <Default Extension="rels" ContentType="application/vnd.openxmlformats-package.relationships+xml"/>
  <Default Extension="xml" ContentType="application/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Types>
</file>

<file path=_rels/.rels><?xml version="1.0" encoding="UTF-8" standalone="yes"?>
<Relationships xmlns="http://schemas.openxmlformats.org/package/2006/relationships"><Relationship Id="rId4" Type="http://schemas.openxmlformats.org/officeDocument/2006/relationships/officeDocument" Target="word/document.xml"/><Relationship Id="rId2" Type="http://schemas.openxmlformats.org/package/2006/relationships/metadata/core-properties" Target="docProps/core.xml"/><Relationship Id="rId1" Type="http://schemas.openxmlformats.org/officeDocument/2006/relationships/extended-properties" Target="docProps/app.xml"/><Relationship Id="rId3"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0="urn:schemas-microsoft-com:office:word"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body>
    <w:p w14:paraId="4E5FCC0E">
      <w:pPr>
        <w:spacing w:before="600" w:after="0"/>
      </w:pPr>
      <w:bookmarkStart w:id="0" w:name="_GoBack"/>
    </w:p>
    <w:p w14:paraId="030A6BC4">
      <w:pPr>
        <w:spacing w:after="80"/>
        <w:jc w:val="center"/>
      </w:pPr>
      <w:r>
        <w:rPr>
          <w:rFonts w:ascii="Arial" w:hAnsi="Arial" w:eastAsia="Arial" w:cs="Arial"/>
          <w:b/>
          <w:bCs/>
          <w:color w:val="028090"/>
          <w:sz w:val="20"/>
          <w:szCs w:val="20"/>
        </w:rPr>
        <w:t>LectMate · T01 / T02 / T03</w:t>
      </w:r>
    </w:p>
    <w:p w14:paraId="23089624">
      <w:pPr>
        <w:spacing w:after="100"/>
        <w:jc w:val="center"/>
      </w:pPr>
      <w:r>
        <w:rPr>
          <w:rFonts w:ascii="Arial" w:hAnsi="Arial" w:eastAsia="Arial" w:cs="Arial"/>
          <w:b/>
          <w:bCs/>
          <w:color w:val="0D1B4B"/>
          <w:sz w:val="40"/>
          <w:szCs w:val="40"/>
        </w:rPr>
        <w:t xml:space="preserve">Age-Stratified Pedagogy Research
&amp; Content Design </w:t>
      </w:r>
      <w:r>
        <w:rPr>
          <w:rFonts w:hint="eastAsia" w:eastAsia="SimSun" w:cs="Arial"/>
          <w:b/>
          <w:bCs/>
          <w:color w:val="0D1B4B"/>
          <w:sz w:val="40"/>
          <w:szCs w:val="40"/>
          <w:lang w:val="en-US" w:eastAsia="zh-CN"/>
        </w:rPr>
        <w:t xml:space="preserve"> </w:t>
      </w:r>
      <w:r>
        <w:rPr>
          <w:rFonts w:ascii="Arial" w:hAnsi="Arial" w:eastAsia="Arial" w:cs="Arial"/>
          <w:b/>
          <w:bCs/>
          <w:color w:val="0D1B4B"/>
          <w:sz w:val="40"/>
          <w:szCs w:val="40"/>
        </w:rPr>
        <w:t>Matrix</w:t>
      </w:r>
    </w:p>
    <w:p w14:paraId="7FDF0E59">
      <w:pPr>
        <w:spacing w:after="60"/>
        <w:jc w:val="center"/>
      </w:pPr>
      <w:r>
        <w:rPr>
          <w:rFonts w:ascii="Arial" w:hAnsi="Arial" w:eastAsia="Arial" w:cs="Arial"/>
          <w:color w:val="5B6472"/>
          <w:sz w:val="22"/>
          <w:szCs w:val="22"/>
        </w:rPr>
        <w:t>Sprint 1 Research Output — Yisong</w:t>
      </w:r>
    </w:p>
    <w:p w14:paraId="5681A3F2">
      <w:pPr>
        <w:spacing w:after="400"/>
        <w:jc w:val="center"/>
      </w:pPr>
      <w:r>
        <w:rPr>
          <w:rFonts w:ascii="Arial" w:hAnsi="Arial" w:eastAsia="Arial" w:cs="Arial"/>
          <w:i/>
          <w:iCs/>
          <w:color w:val="5B6472"/>
          <w:sz w:val="17"/>
          <w:szCs w:val="17"/>
        </w:rPr>
        <w:t>Sources: Piaget (1953), Vygotsky (1978), Knowles (1980), CSTA K-12 Standards (2017),
Educational Technology Quarterly (2025), Frontiers in Psychology Meta-Analysis (2023)</w:t>
      </w:r>
    </w:p>
    <w:p w14:paraId="1A154390">
      <w:r>
        <w:br w:type="page"/>
      </w:r>
    </w:p>
    <w:p w14:paraId="11538513">
      <w:pPr>
        <w:pStyle w:val="2"/>
      </w:pPr>
      <w:r>
        <w:t>1  Purpose of This Document</w:t>
      </w:r>
    </w:p>
    <w:p w14:paraId="1F61B952">
      <w:pPr>
        <w:spacing w:after="120" w:line="276" w:lineRule="auto"/>
      </w:pPr>
      <w:r>
        <w:rPr>
          <w:sz w:val="20"/>
          <w:szCs w:val="20"/>
        </w:rPr>
        <w:t xml:space="preserve">This document synthesises the pedagogy research required for </w:t>
      </w:r>
      <w:r>
        <w:rPr>
          <w:rFonts w:hint="default"/>
          <w:sz w:val="20"/>
          <w:szCs w:val="20"/>
          <w:lang w:val="en-US"/>
        </w:rPr>
        <w:t>age-stratified python teaching</w:t>
      </w:r>
      <w:r>
        <w:rPr>
          <w:sz w:val="20"/>
          <w:szCs w:val="20"/>
        </w:rPr>
        <w:t>, and produces the content design matrix that directly feeds into the Planner module of the LectMate Agentic Pipeline. The core question driving all three tasks is:</w:t>
      </w:r>
    </w:p>
    <w:p w14:paraId="59A827CF">
      <w:pPr>
        <w:pBdr>
          <w:left w:val="single" w:color="028090" w:sz="20" w:space="8"/>
        </w:pBdr>
        <w:shd w:val="clear" w:fill="D0F0EB"/>
        <w:spacing w:before="80" w:after="160"/>
        <w:ind w:left="120"/>
      </w:pPr>
      <w:r>
        <w:rPr>
          <w:i/>
          <w:iCs/>
          <w:color w:val="028090"/>
          <w:sz w:val="18"/>
          <w:szCs w:val="18"/>
        </w:rPr>
        <w:t>"Given a student of age X and a topic Y, what content format, exercise type, language level, and pedagogical approach should the Generator use?"</w:t>
      </w:r>
    </w:p>
    <w:p w14:paraId="4DC11ADA">
      <w:pPr>
        <w:spacing w:after="120" w:line="276" w:lineRule="auto"/>
      </w:pPr>
      <w:r>
        <w:rPr>
          <w:sz w:val="20"/>
          <w:szCs w:val="20"/>
        </w:rPr>
        <w:t>The matrix produced in Section 4 is the primary output. Sections 2 and 3 document the evidence trail.</w:t>
      </w:r>
    </w:p>
    <w:p w14:paraId="5E0DBB9D">
      <w:pPr>
        <w:pStyle w:val="2"/>
      </w:pPr>
      <w:r>
        <w:t>2  Pedagogy for Ages 6–9 and 10–13</w:t>
      </w:r>
    </w:p>
    <w:p w14:paraId="028957E9">
      <w:pPr>
        <w:pStyle w:val="3"/>
      </w:pPr>
      <w:r>
        <w:t>2.1  Cognitive Foundation: Piaget's Developmental Stages</w:t>
      </w:r>
    </w:p>
    <w:p w14:paraId="27B65361">
      <w:pPr>
        <w:spacing w:after="120" w:line="276" w:lineRule="auto"/>
      </w:pPr>
      <w:r>
        <w:rPr>
          <w:sz w:val="20"/>
          <w:szCs w:val="20"/>
        </w:rPr>
        <w:t>Jean Piaget's theory of cognitive development provides the theoretical ceiling for each age tier — it defines what kinds of thinking children are neurologically capable of at a given age.</w:t>
      </w:r>
    </w:p>
    <w:p w14:paraId="73DD8A93">
      <w:pPr>
        <w:pStyle w:val="16"/>
        <w:numPr>
          <w:ilvl w:val="0"/>
          <w:numId w:val="1"/>
        </w:numPr>
        <w:spacing w:after="80"/>
      </w:pPr>
      <w:r>
        <w:rPr>
          <w:sz w:val="19"/>
          <w:szCs w:val="19"/>
        </w:rPr>
        <w:t>Pre-operational stage (~2–6 yrs): Egocentric, concrete, symbolic thinking begins. Cannot yet perform logical operations.</w:t>
      </w:r>
    </w:p>
    <w:p w14:paraId="069FE88A">
      <w:pPr>
        <w:pStyle w:val="16"/>
        <w:numPr>
          <w:ilvl w:val="0"/>
          <w:numId w:val="1"/>
        </w:numPr>
        <w:spacing w:after="80"/>
      </w:pPr>
      <w:r>
        <w:rPr>
          <w:sz w:val="19"/>
          <w:szCs w:val="19"/>
        </w:rPr>
        <w:t>Concrete operational stage (~6–12 yrs): Children can organise thoughts logically and use cause-effect reasoning, but still rely on physical or visual representations. They cannot yet reason from purely abstract symbols.</w:t>
      </w:r>
    </w:p>
    <w:p w14:paraId="6CE13046">
      <w:pPr>
        <w:pStyle w:val="16"/>
        <w:numPr>
          <w:ilvl w:val="0"/>
          <w:numId w:val="1"/>
        </w:numPr>
        <w:spacing w:after="80"/>
      </w:pPr>
      <w:r>
        <w:rPr>
          <w:sz w:val="19"/>
          <w:szCs w:val="19"/>
        </w:rPr>
        <w:t>Formal operational stage (~12+ yrs): Hypothetical, abstract, systematic reasoning becomes possible. This is when true programming logic (conditions, nested loops, algorithms) becomes accessible without scaffolding.</w:t>
      </w:r>
    </w:p>
    <w:p w14:paraId="3646ACB9">
      <w:pPr>
        <w:pBdr>
          <w:left w:val="single" w:color="065F46" w:sz="20" w:space="8"/>
        </w:pBdr>
        <w:shd w:val="clear" w:fill="ECFDF5"/>
        <w:spacing w:before="80" w:after="160"/>
        <w:ind w:left="120"/>
      </w:pPr>
      <w:r>
        <w:rPr>
          <w:i/>
          <w:iCs/>
          <w:color w:val="065F46"/>
          <w:sz w:val="18"/>
          <w:szCs w:val="18"/>
        </w:rPr>
        <w:t>Design implication: Any content generated for ages 6–9 must anchor abstract concepts to physical or visual representations. Raw Python syntax is cognitively inaccessible at this tier — not a pedagogical preference, but a developmental constraint.</w:t>
      </w:r>
    </w:p>
    <w:p w14:paraId="7C1B739D">
      <w:pPr>
        <w:pStyle w:val="3"/>
      </w:pPr>
      <w:r>
        <w:t>2.2  Ages 6–9: Concrete Operations + Visual Programming</w:t>
      </w:r>
    </w:p>
    <w:p w14:paraId="0F1A7E1E">
      <w:pPr>
        <w:spacing w:after="120" w:line="276" w:lineRule="auto"/>
      </w:pPr>
      <w:r>
        <w:rPr>
          <w:sz w:val="20"/>
          <w:szCs w:val="20"/>
        </w:rPr>
        <w:t>Research on ScratchJr with K–2 students (Flannery et al., 2013, as cited in Bers et al., 2018) reveals a consistent pattern: young children easily master motion, sound, and appearance blocks — all of which produce immediate visual changes — but struggle with control-flow blocks (repeat, if) and multi-script coordination, which require abstract reasoning about execution order.</w:t>
      </w:r>
    </w:p>
    <w:p w14:paraId="433B3C26">
      <w:pPr>
        <w:spacing w:after="120" w:line="276" w:lineRule="auto"/>
      </w:pPr>
      <w:r>
        <w:rPr>
          <w:sz w:val="20"/>
          <w:szCs w:val="20"/>
        </w:rPr>
        <w:t>A 2025 scoping review in Educational Technology Quarterly synthesising 3–9 year old coding studies identifies five effective approaches for this age range:</w:t>
      </w:r>
    </w:p>
    <w:p w14:paraId="666BA976">
      <w:pPr>
        <w:pStyle w:val="16"/>
        <w:numPr>
          <w:ilvl w:val="0"/>
          <w:numId w:val="1"/>
        </w:numPr>
        <w:spacing w:after="80"/>
      </w:pPr>
      <w:r>
        <w:rPr>
          <w:sz w:val="19"/>
          <w:szCs w:val="19"/>
        </w:rPr>
        <w:t>Game-based learning: immerses students in coding tasks, outperforms pure gamification (points/badges) for beginners when introduced alongside foundational concepts.</w:t>
      </w:r>
    </w:p>
    <w:p w14:paraId="45EDFE37">
      <w:pPr>
        <w:pStyle w:val="16"/>
        <w:numPr>
          <w:ilvl w:val="0"/>
          <w:numId w:val="1"/>
        </w:numPr>
        <w:spacing w:after="80"/>
      </w:pPr>
      <w:r>
        <w:rPr>
          <w:sz w:val="19"/>
          <w:szCs w:val="19"/>
        </w:rPr>
        <w:t>Storytelling/narrative: wraps coding lessons in characters and plots; children aged 5–7 can follow story-driven sequences before they can read formal syntax.</w:t>
      </w:r>
    </w:p>
    <w:p w14:paraId="5B0AC153">
      <w:pPr>
        <w:pStyle w:val="16"/>
        <w:numPr>
          <w:ilvl w:val="0"/>
          <w:numId w:val="1"/>
        </w:numPr>
        <w:spacing w:after="80"/>
      </w:pPr>
      <w:r>
        <w:rPr>
          <w:sz w:val="19"/>
          <w:szCs w:val="19"/>
        </w:rPr>
        <w:t>Unplugged activities: physical role-play (e.g., acting as robots following instructions) builds algorithmic thinking without screens; 10–20 minute sessions maximum.</w:t>
      </w:r>
    </w:p>
    <w:p w14:paraId="4C6F117A">
      <w:pPr>
        <w:pStyle w:val="16"/>
        <w:numPr>
          <w:ilvl w:val="0"/>
          <w:numId w:val="1"/>
        </w:numPr>
        <w:spacing w:after="80"/>
      </w:pPr>
      <w:r>
        <w:rPr>
          <w:sz w:val="19"/>
          <w:szCs w:val="19"/>
        </w:rPr>
        <w:t>Visual block-based environments: Scratch, ScratchJr, Blockly. Children produce animations and interactive stories without text syntax.</w:t>
      </w:r>
    </w:p>
    <w:p w14:paraId="43329B14">
      <w:pPr>
        <w:pStyle w:val="16"/>
        <w:numPr>
          <w:ilvl w:val="0"/>
          <w:numId w:val="1"/>
        </w:numPr>
        <w:spacing w:after="80"/>
      </w:pPr>
      <w:r>
        <w:rPr>
          <w:sz w:val="19"/>
          <w:szCs w:val="19"/>
        </w:rPr>
        <w:t>Gamification elements for engagement: role-playing, rewards, challenges, and cooperative tasks maintain flow state and reduce frustration.</w:t>
      </w:r>
    </w:p>
    <w:p w14:paraId="4B3A2261">
      <w:pPr>
        <w:spacing w:after="120" w:line="276" w:lineRule="auto"/>
      </w:pPr>
    </w:p>
    <w:p w14:paraId="098EF839">
      <w:pPr>
        <w:spacing w:after="120" w:line="276" w:lineRule="auto"/>
      </w:pPr>
      <w:r>
        <w:rPr>
          <w:rFonts w:ascii="Arial" w:hAnsi="Arial" w:eastAsia="Arial" w:cs="Arial"/>
          <w:sz w:val="19"/>
          <w:szCs w:val="19"/>
        </w:rPr>
        <w:t xml:space="preserve">CSTA Level 1A (K–2, ages 5–7) programming standards include: model daily processes as algorithms; develop programs with sequences and simple loops; decompose problems into steps; model how data is stored using symbols. </w:t>
      </w:r>
      <w:r>
        <w:rPr>
          <w:i/>
          <w:iCs/>
          <w:color w:val="5B6472"/>
          <w:sz w:val="17"/>
          <w:szCs w:val="17"/>
        </w:rPr>
        <w:t>(CSTA, 2017, standards 1A-AP-08 to 1A-AP-15)</w:t>
      </w:r>
    </w:p>
    <w:p w14:paraId="37E627F0">
      <w:pPr>
        <w:pBdr>
          <w:left w:val="single" w:color="065F46" w:sz="20" w:space="8"/>
        </w:pBdr>
        <w:shd w:val="clear" w:fill="ECFDF5"/>
        <w:spacing w:before="80" w:after="160"/>
        <w:ind w:left="120"/>
      </w:pPr>
      <w:r>
        <w:rPr>
          <w:i/>
          <w:iCs/>
          <w:color w:val="065F46"/>
          <w:sz w:val="18"/>
          <w:szCs w:val="18"/>
        </w:rPr>
        <w:t>Key design rule for 6–9: No raw code. Mandatory metaphor/story wrapping. Drag-drop or visual block exercises only. Sessions ≤ 20 minutes. Immediate visual feedback required.</w:t>
      </w:r>
    </w:p>
    <w:p w14:paraId="0B521313">
      <w:pPr>
        <w:pStyle w:val="3"/>
      </w:pPr>
      <w:r>
        <w:t>2.3  Ages 10–13: Scaffolded Transition — Blocks to Text</w:t>
      </w:r>
    </w:p>
    <w:p w14:paraId="34B77CA5">
      <w:pPr>
        <w:spacing w:after="120" w:line="276" w:lineRule="auto"/>
      </w:pPr>
      <w:r>
        <w:rPr>
          <w:sz w:val="20"/>
          <w:szCs w:val="20"/>
        </w:rPr>
        <w:t>This tier spans the transition from Piaget's concrete operational to early formal operational thinking. Vygotsky's Zone of Proximal Development (ZPD) is the primary theoretical frame here.</w:t>
      </w:r>
    </w:p>
    <w:p w14:paraId="0FF98B4B">
      <w:pPr>
        <w:spacing w:after="120" w:line="276" w:lineRule="auto"/>
      </w:pPr>
      <w:r>
        <w:rPr>
          <w:sz w:val="20"/>
          <w:szCs w:val="20"/>
        </w:rPr>
        <w:t>Vygotsky argued that the most productive learning occurs in the space between what a child can do alone (actual developmental level) and what they can achieve with expert support (potential level). Scaffolding — temporary, calibrated support that is withdrawn as competence grows — is the mechanism for traversing the ZPD. For 10–13 year olds in coding education, this manifests as the Blocks-to-Text bridge: students move from visual Scratch/Blockly to Python with scaffolded syntax hints.</w:t>
      </w:r>
    </w:p>
    <w:p w14:paraId="44EF46F5">
      <w:pPr>
        <w:spacing w:after="120" w:line="276" w:lineRule="auto"/>
      </w:pPr>
      <w:r>
        <w:rPr>
          <w:rFonts w:ascii="Arial" w:hAnsi="Arial" w:eastAsia="Arial" w:cs="Arial"/>
          <w:b/>
          <w:bCs/>
          <w:sz w:val="19"/>
          <w:szCs w:val="19"/>
        </w:rPr>
        <w:t xml:space="preserve">CSTA Level 1B (Grades 3–5, ages 8–11): </w:t>
      </w:r>
      <w:r>
        <w:rPr>
          <w:rFonts w:ascii="Arial" w:hAnsi="Arial" w:eastAsia="Arial" w:cs="Arial"/>
          <w:sz w:val="19"/>
          <w:szCs w:val="19"/>
        </w:rPr>
        <w:t xml:space="preserve">create programs with variables, events, loops, conditionals; compare algorithms for the same task; test and debug; give attribution. </w:t>
      </w:r>
      <w:r>
        <w:rPr>
          <w:i/>
          <w:iCs/>
          <w:color w:val="5B6472"/>
          <w:sz w:val="17"/>
          <w:szCs w:val="17"/>
        </w:rPr>
        <w:t>(1B-AP-08 to 1B-AP-17)</w:t>
      </w:r>
    </w:p>
    <w:p w14:paraId="276367B9">
      <w:pPr>
        <w:spacing w:after="120" w:line="276" w:lineRule="auto"/>
      </w:pPr>
      <w:r>
        <w:rPr>
          <w:rFonts w:ascii="Arial" w:hAnsi="Arial" w:eastAsia="Arial" w:cs="Arial"/>
          <w:b/>
          <w:bCs/>
          <w:sz w:val="19"/>
          <w:szCs w:val="19"/>
        </w:rPr>
        <w:t xml:space="preserve">CSTA Level 2 (Grades 6–8, ages 11–14): </w:t>
      </w:r>
      <w:r>
        <w:rPr>
          <w:rFonts w:ascii="Arial" w:hAnsi="Arial" w:eastAsia="Arial" w:cs="Arial"/>
          <w:sz w:val="19"/>
          <w:szCs w:val="19"/>
        </w:rPr>
        <w:t xml:space="preserve">use flowcharts and pseudocode for complex problems; create procedures with parameters; incorporate existing libraries; systematically test with multiple cases; document programs; collaborate using version-control tools. </w:t>
      </w:r>
      <w:r>
        <w:rPr>
          <w:i/>
          <w:iCs/>
          <w:color w:val="5B6472"/>
          <w:sz w:val="17"/>
          <w:szCs w:val="17"/>
        </w:rPr>
        <w:t>(2-AP-10 to 2-AP-19)</w:t>
      </w:r>
    </w:p>
    <w:p w14:paraId="14712EF8">
      <w:pPr>
        <w:spacing w:after="120" w:line="276" w:lineRule="auto"/>
      </w:pPr>
      <w:r>
        <w:rPr>
          <w:sz w:val="20"/>
          <w:szCs w:val="20"/>
        </w:rPr>
        <w:t>A 2025 study in Computers &amp; Education found that ChatGPT-assisted coding in high school classrooms produced significantly lower anxiety and better debugging behaviour — suggesting that AI-assisted hint systems (rather than direct answer-giving) are appropriate for learners in the 10–13 range moving to text syntax.</w:t>
      </w:r>
    </w:p>
    <w:p w14:paraId="7744E428">
      <w:pPr>
        <w:pBdr>
          <w:left w:val="single" w:color="92400E" w:sz="20" w:space="8"/>
        </w:pBdr>
        <w:shd w:val="clear" w:fill="FEF3C7"/>
        <w:spacing w:before="80" w:after="160"/>
        <w:ind w:left="120"/>
      </w:pPr>
      <w:r>
        <w:rPr>
          <w:i/>
          <w:iCs/>
          <w:color w:val="92400E"/>
          <w:sz w:val="18"/>
          <w:szCs w:val="18"/>
        </w:rPr>
        <w:t>Key design rule for 10–13: Begin with Blockly or Scratch, introduce simple Python syntax with scaffolded hints. Fill-in-the-blank and fix-the-bug exercises. Short functions (≤ 5 lines). Pseudocode before text. Mini-projects should produce tangible output (a calculator, a simple quiz game).</w:t>
      </w:r>
    </w:p>
    <w:p w14:paraId="683CBA9D">
      <w:pPr>
        <w:pStyle w:val="2"/>
      </w:pPr>
      <w:r>
        <w:t>3  T02 · Pedagogy for Ages 14–17 and 18–21</w:t>
      </w:r>
    </w:p>
    <w:p w14:paraId="6B0D09B9">
      <w:pPr>
        <w:pStyle w:val="3"/>
      </w:pPr>
      <w:r>
        <w:t>3.1  Ages 14–17: Formal Operations + Project-Based Learning</w:t>
      </w:r>
    </w:p>
    <w:p w14:paraId="1AAEC0D8">
      <w:pPr>
        <w:spacing w:after="120" w:line="276" w:lineRule="auto"/>
      </w:pPr>
      <w:r>
        <w:rPr>
          <w:sz w:val="20"/>
          <w:szCs w:val="20"/>
        </w:rPr>
        <w:t>By age 14, most students have entered Piaget's formal operational stage and can reason hypothetically, work with abstract variables, and plan multi-step algorithmic solutions without physical props. The pedagogical shift is from "show them" to "challenge them".</w:t>
      </w:r>
    </w:p>
    <w:p w14:paraId="3FC2E9C8">
      <w:pPr>
        <w:spacing w:after="120" w:line="276" w:lineRule="auto"/>
      </w:pPr>
      <w:r>
        <w:rPr>
          <w:sz w:val="20"/>
          <w:szCs w:val="20"/>
        </w:rPr>
        <w:t>A 2023 meta-analysis published in Frontiers in Psychology systematically reviewed 66 experimental and quasi-experimental studies on Project-Based Learning (PBL) across subjects, finding a combined effect size of SMD = 0.441 (p &lt; 0.001) — a moderately positive contribution to learning outcomes versus traditional instruction. A 2025 study focused specifically on C# programming (Springer Nature, Discover Education) found that PBL students outperformed a traditional-instruction control group on achievement tests with an effect size of η² = 0.556 (large effect), and reported significantly higher self-efficacy scores.</w:t>
      </w:r>
    </w:p>
    <w:p w14:paraId="3B108A3E">
      <w:pPr>
        <w:spacing w:after="120" w:line="276" w:lineRule="auto"/>
      </w:pPr>
      <w:r>
        <w:rPr>
          <w:rFonts w:ascii="Arial" w:hAnsi="Arial" w:eastAsia="Arial" w:cs="Arial"/>
          <w:b/>
          <w:bCs/>
          <w:sz w:val="19"/>
          <w:szCs w:val="19"/>
        </w:rPr>
        <w:t xml:space="preserve">CSTA Level 3A (Grades 9–10, ages 14–16): </w:t>
      </w:r>
      <w:r>
        <w:rPr>
          <w:rFonts w:ascii="Arial" w:hAnsi="Arial" w:eastAsia="Arial" w:cs="Arial"/>
          <w:sz w:val="19"/>
          <w:szCs w:val="19"/>
        </w:rPr>
        <w:t xml:space="preserve">create prototypes based on user feedback; use lists to simplify solutions; justify control structure choices; design modular programs; collaborate on team projects using version control; evaluate and refine artifacts for accessibility and bias. </w:t>
      </w:r>
      <w:r>
        <w:rPr>
          <w:i/>
          <w:iCs/>
          <w:color w:val="5B6472"/>
          <w:sz w:val="17"/>
          <w:szCs w:val="17"/>
        </w:rPr>
        <w:t>(3A-AP-13 to 3A-AP-23)</w:t>
      </w:r>
    </w:p>
    <w:p w14:paraId="5235D0A2">
      <w:pPr>
        <w:spacing w:after="120" w:line="276" w:lineRule="auto"/>
      </w:pPr>
      <w:r>
        <w:rPr>
          <w:sz w:val="20"/>
          <w:szCs w:val="20"/>
        </w:rPr>
        <w:t>The Socratic approach — asking guiding questions rather than giving answers — is the dominant pedagogical method in this tier. Khanmigo's design is based on this principle: the AI never delivers answers directly. For LectMate's tutor guide module, this translates into generating sequences of prompting questions ("What would happen if you changed the loop condition? Can you find a case where this breaks?") rather than worked solutions.</w:t>
      </w:r>
    </w:p>
    <w:p w14:paraId="033D7C82">
      <w:pPr>
        <w:pBdr>
          <w:left w:val="single" w:color="0369A1" w:sz="20" w:space="8"/>
        </w:pBdr>
        <w:shd w:val="clear" w:fill="EFF6FF"/>
        <w:spacing w:before="80" w:after="160"/>
        <w:ind w:left="120"/>
      </w:pPr>
      <w:r>
        <w:rPr>
          <w:i/>
          <w:iCs/>
          <w:color w:val="0369A1"/>
          <w:sz w:val="18"/>
          <w:szCs w:val="18"/>
        </w:rPr>
        <w:t>Key design rule for 14–17: Real Python text code, no blocks. Exercises focus on building a working feature, debugging a real error, or extending existing code. Mini-projects should produce a deployable tool (a data script, a simple API, a game). Tutor guide = Socratic hint sequence, not answers.</w:t>
      </w:r>
    </w:p>
    <w:p w14:paraId="1A8AFA4C">
      <w:pPr>
        <w:pStyle w:val="3"/>
      </w:pPr>
      <w:r>
        <w:t>3.2  Ages 18–21: Andragogy + Engineering Practice</w:t>
      </w:r>
    </w:p>
    <w:p w14:paraId="31491451">
      <w:pPr>
        <w:spacing w:after="120" w:line="276" w:lineRule="auto"/>
      </w:pPr>
      <w:r>
        <w:rPr>
          <w:sz w:val="20"/>
          <w:szCs w:val="20"/>
        </w:rPr>
        <w:t>Malcolm Knowles' andragogy model (1980) defines how adult learners differ from children, across five core assumptions:</w:t>
      </w:r>
    </w:p>
    <w:p w14:paraId="063C0265">
      <w:pPr>
        <w:pStyle w:val="16"/>
        <w:numPr>
          <w:ilvl w:val="0"/>
          <w:numId w:val="1"/>
        </w:numPr>
        <w:spacing w:after="80"/>
      </w:pPr>
      <w:r>
        <w:rPr>
          <w:sz w:val="19"/>
          <w:szCs w:val="19"/>
        </w:rPr>
        <w:t>Self-concept: Adults are self-directed; they want autonomy over what and how they learn. → Offer choice in project topics and delivery methods.</w:t>
      </w:r>
    </w:p>
    <w:p w14:paraId="4B6C3482">
      <w:pPr>
        <w:pStyle w:val="16"/>
        <w:numPr>
          <w:ilvl w:val="0"/>
          <w:numId w:val="1"/>
        </w:numPr>
        <w:spacing w:after="80"/>
      </w:pPr>
      <w:r>
        <w:rPr>
          <w:sz w:val="19"/>
          <w:szCs w:val="19"/>
        </w:rPr>
        <w:t>Experience: Adults bring rich prior experience that serves as a learning resource. → Connect new concepts to their existing knowledge (work, hobbies, life).</w:t>
      </w:r>
    </w:p>
    <w:p w14:paraId="61463993">
      <w:pPr>
        <w:pStyle w:val="16"/>
        <w:numPr>
          <w:ilvl w:val="0"/>
          <w:numId w:val="1"/>
        </w:numPr>
        <w:spacing w:after="80"/>
      </w:pPr>
      <w:r>
        <w:rPr>
          <w:sz w:val="19"/>
          <w:szCs w:val="19"/>
        </w:rPr>
        <w:t>Readiness to learn: Adults engage with content that is relevant to their immediate goals. → Frame every exercise in terms of real-world application.</w:t>
      </w:r>
    </w:p>
    <w:p w14:paraId="3BF65EC7">
      <w:pPr>
        <w:pStyle w:val="16"/>
        <w:numPr>
          <w:ilvl w:val="0"/>
          <w:numId w:val="1"/>
        </w:numPr>
        <w:spacing w:after="80"/>
      </w:pPr>
      <w:r>
        <w:rPr>
          <w:sz w:val="19"/>
          <w:szCs w:val="19"/>
        </w:rPr>
        <w:t>Orientation to learning: Adults are problem-centred, not subject-centred. → Start with the problem, derive the theory from it.</w:t>
      </w:r>
    </w:p>
    <w:p w14:paraId="285286B4">
      <w:pPr>
        <w:pStyle w:val="16"/>
        <w:numPr>
          <w:ilvl w:val="0"/>
          <w:numId w:val="1"/>
        </w:numPr>
        <w:spacing w:after="80"/>
      </w:pPr>
      <w:r>
        <w:rPr>
          <w:sz w:val="19"/>
          <w:szCs w:val="19"/>
        </w:rPr>
        <w:t>Motivation: Adults are primarily intrinsically motivated. → Produce portfolio-worthy, shareable deliverables.</w:t>
      </w:r>
    </w:p>
    <w:p w14:paraId="27410201">
      <w:pPr>
        <w:spacing w:after="120" w:line="276" w:lineRule="auto"/>
      </w:pPr>
      <w:r>
        <w:rPr>
          <w:rFonts w:ascii="Arial" w:hAnsi="Arial" w:eastAsia="Arial" w:cs="Arial"/>
          <w:b/>
          <w:bCs/>
          <w:sz w:val="19"/>
          <w:szCs w:val="19"/>
        </w:rPr>
        <w:t xml:space="preserve">CSTA Level 3B (Grades 11–12, ages 16–18): </w:t>
      </w:r>
      <w:r>
        <w:rPr>
          <w:rFonts w:ascii="Arial" w:hAnsi="Arial" w:eastAsia="Arial" w:cs="Arial"/>
          <w:sz w:val="19"/>
          <w:szCs w:val="19"/>
        </w:rPr>
        <w:t xml:space="preserve">demonstrate AI algorithm implementation; use and adapt classic algorithms; evaluate algorithm efficiency and correctness; compare fundamental data structures; use libraries and APIs for code reuse; apply a software lifecycle process; conduct code reviews; develop for multiple platforms; use version control (Git) in group projects. </w:t>
      </w:r>
      <w:r>
        <w:rPr>
          <w:i/>
          <w:iCs/>
          <w:color w:val="5B6472"/>
          <w:sz w:val="17"/>
          <w:szCs w:val="17"/>
        </w:rPr>
        <w:t>(3B-AP-08 to 3B-AP-24)</w:t>
      </w:r>
    </w:p>
    <w:p w14:paraId="38C25CE6">
      <w:pPr>
        <w:spacing w:after="120" w:line="276" w:lineRule="auto"/>
      </w:pPr>
      <w:r>
        <w:rPr>
          <w:sz w:val="20"/>
          <w:szCs w:val="20"/>
        </w:rPr>
        <w:t>Although CSTA's Level 3B technically targets grades 11–12 (ages 16–18), it represents the most advanced K-12 expectations and maps well to the 18–21 university-entry tier in LectMate. For this group, content should assume professional engineering practices: GitHub version control, unit tests, API integration, and code review as standard workflow.</w:t>
      </w:r>
    </w:p>
    <w:p w14:paraId="2571BC65">
      <w:pPr>
        <w:pBdr>
          <w:left w:val="single" w:color="4C1D95" w:sz="20" w:space="8"/>
        </w:pBdr>
        <w:shd w:val="clear" w:fill="F5F3FF"/>
        <w:spacing w:before="80" w:after="160"/>
        <w:ind w:left="120"/>
      </w:pPr>
      <w:r>
        <w:rPr>
          <w:i/>
          <w:iCs/>
          <w:color w:val="4C1D95"/>
          <w:sz w:val="18"/>
          <w:szCs w:val="18"/>
        </w:rPr>
        <w:t>Key design rule for 18–21: Full Python/JavaScript text code with engineering tooling. Mini-projects are full applications, REST APIs, or ML model integrations. Exercises include code review tasks, refactoring challenges, and efficiency analysis. Tutor guide = peer-review checklist, not a hint sequence.</w:t>
      </w:r>
    </w:p>
    <w:p w14:paraId="18699FD6">
      <w:r>
        <w:br w:type="page"/>
      </w:r>
    </w:p>
    <w:p w14:paraId="2699CD28">
      <w:pPr>
        <w:pStyle w:val="2"/>
      </w:pPr>
      <w:r>
        <w:t>4  T03 · Content Design Matrix</w:t>
      </w:r>
    </w:p>
    <w:p w14:paraId="395A14FB">
      <w:pPr>
        <w:spacing w:after="120" w:line="276" w:lineRule="auto"/>
      </w:pPr>
      <w:r>
        <w:rPr>
          <w:sz w:val="20"/>
          <w:szCs w:val="20"/>
        </w:rPr>
        <w:t>This matrix is the primary output of T01–T03 and the direct input to the LectMate Planner module. Each cell specifies the design rule — not a suggestion — for content generation at that age tier.</w:t>
      </w:r>
    </w:p>
    <w:p w14:paraId="3367415F">
      <w:pPr>
        <w:spacing w:before="60" w:after="0"/>
      </w:pPr>
    </w:p>
    <w:tbl>
      <w:tblPr>
        <w:tblStyle w:val="9"/>
        <w:tblW w:w="9360" w:type="dxa"/>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 w:type="dxa"/>
          <w:bottom w:w="0" w:type="dxa"/>
          <w:right w:w="10" w:type="dxa"/>
        </w:tblCellMar>
      </w:tblPr>
      <w:tblGrid>
        <w:gridCol w:w="1800"/>
        <w:gridCol w:w="1890"/>
        <w:gridCol w:w="1890"/>
        <w:gridCol w:w="1890"/>
        <w:gridCol w:w="1890"/>
      </w:tblGrid>
      <w:tr w14:paraId="1ECF0F09">
        <w:trPr>
          <w:tblHeader/>
        </w:trPr>
        <w:tc>
          <w:tcPr>
            <w:tcW w:w="1800" w:type="dxa"/>
            <w:tcBorders>
              <w:top w:val="single" w:color="0D1B4B" w:sz="0" w:space="0"/>
              <w:left w:val="single" w:color="0D1B4B" w:sz="0" w:space="0"/>
              <w:bottom w:val="single" w:color="0D1B4B" w:sz="0" w:space="0"/>
              <w:right w:val="single" w:color="0D1B4B" w:sz="0" w:space="0"/>
            </w:tcBorders>
            <w:shd w:val="clear" w:color="auto" w:fill="0D1B4B"/>
            <w:tcMar>
              <w:top w:w="100" w:type="dxa"/>
              <w:left w:w="120" w:type="dxa"/>
              <w:bottom w:w="100" w:type="dxa"/>
              <w:right w:w="120" w:type="dxa"/>
            </w:tcMar>
            <w:vAlign w:val="center"/>
          </w:tcPr>
          <w:p w14:paraId="5AA2E8B9">
            <w:pPr>
              <w:jc w:val="center"/>
            </w:pPr>
            <w:r>
              <w:rPr>
                <w:rFonts w:ascii="Arial" w:hAnsi="Arial" w:eastAsia="Arial" w:cs="Arial"/>
                <w:b/>
                <w:bCs/>
                <w:color w:val="FFFFFF"/>
                <w:sz w:val="19"/>
                <w:szCs w:val="19"/>
              </w:rPr>
              <w:t>Dimension</w:t>
            </w:r>
          </w:p>
        </w:tc>
        <w:tc>
          <w:tcPr>
            <w:tcW w:w="1890" w:type="dxa"/>
            <w:tcBorders>
              <w:top w:val="single" w:color="065F46" w:sz="0" w:space="0"/>
              <w:left w:val="single" w:color="065F46" w:sz="0" w:space="0"/>
              <w:bottom w:val="single" w:color="065F46" w:sz="0" w:space="0"/>
              <w:right w:val="single" w:color="065F46" w:sz="0" w:space="0"/>
            </w:tcBorders>
            <w:shd w:val="clear" w:color="auto" w:fill="065F46"/>
            <w:tcMar>
              <w:top w:w="100" w:type="dxa"/>
              <w:left w:w="120" w:type="dxa"/>
              <w:bottom w:w="100" w:type="dxa"/>
              <w:right w:w="120" w:type="dxa"/>
            </w:tcMar>
            <w:vAlign w:val="center"/>
          </w:tcPr>
          <w:p w14:paraId="1E860810">
            <w:pPr>
              <w:jc w:val="center"/>
            </w:pPr>
            <w:r>
              <w:rPr>
                <w:rFonts w:ascii="Arial" w:hAnsi="Arial" w:eastAsia="Arial" w:cs="Arial"/>
                <w:b/>
                <w:bCs/>
                <w:color w:val="FFFFFF"/>
                <w:sz w:val="19"/>
                <w:szCs w:val="19"/>
              </w:rPr>
              <w:t>Tier 1 · Ages 6–9</w:t>
            </w:r>
          </w:p>
        </w:tc>
        <w:tc>
          <w:tcPr>
            <w:tcW w:w="1890" w:type="dxa"/>
            <w:tcBorders>
              <w:top w:val="single" w:color="92400E" w:sz="0" w:space="0"/>
              <w:left w:val="single" w:color="92400E" w:sz="0" w:space="0"/>
              <w:bottom w:val="single" w:color="92400E" w:sz="0" w:space="0"/>
              <w:right w:val="single" w:color="92400E" w:sz="0" w:space="0"/>
            </w:tcBorders>
            <w:shd w:val="clear" w:color="auto" w:fill="92400E"/>
            <w:tcMar>
              <w:top w:w="100" w:type="dxa"/>
              <w:left w:w="120" w:type="dxa"/>
              <w:bottom w:w="100" w:type="dxa"/>
              <w:right w:w="120" w:type="dxa"/>
            </w:tcMar>
            <w:vAlign w:val="center"/>
          </w:tcPr>
          <w:p w14:paraId="0E3518A3">
            <w:pPr>
              <w:jc w:val="center"/>
            </w:pPr>
            <w:r>
              <w:rPr>
                <w:rFonts w:ascii="Arial" w:hAnsi="Arial" w:eastAsia="Arial" w:cs="Arial"/>
                <w:b/>
                <w:bCs/>
                <w:color w:val="FFFFFF"/>
                <w:sz w:val="19"/>
                <w:szCs w:val="19"/>
              </w:rPr>
              <w:t>Tier 2 · Ages 10–13</w:t>
            </w:r>
          </w:p>
        </w:tc>
        <w:tc>
          <w:tcPr>
            <w:tcW w:w="1890" w:type="dxa"/>
            <w:tcBorders>
              <w:top w:val="single" w:color="0369A1" w:sz="0" w:space="0"/>
              <w:left w:val="single" w:color="0369A1" w:sz="0" w:space="0"/>
              <w:bottom w:val="single" w:color="0369A1" w:sz="0" w:space="0"/>
              <w:right w:val="single" w:color="0369A1" w:sz="0" w:space="0"/>
            </w:tcBorders>
            <w:shd w:val="clear" w:color="auto" w:fill="0369A1"/>
            <w:tcMar>
              <w:top w:w="100" w:type="dxa"/>
              <w:left w:w="120" w:type="dxa"/>
              <w:bottom w:w="100" w:type="dxa"/>
              <w:right w:w="120" w:type="dxa"/>
            </w:tcMar>
            <w:vAlign w:val="center"/>
          </w:tcPr>
          <w:p w14:paraId="21DD19D0">
            <w:pPr>
              <w:jc w:val="center"/>
            </w:pPr>
            <w:r>
              <w:rPr>
                <w:rFonts w:ascii="Arial" w:hAnsi="Arial" w:eastAsia="Arial" w:cs="Arial"/>
                <w:b/>
                <w:bCs/>
                <w:color w:val="FFFFFF"/>
                <w:sz w:val="19"/>
                <w:szCs w:val="19"/>
              </w:rPr>
              <w:t>Tier 3 · Ages 14–17</w:t>
            </w:r>
          </w:p>
        </w:tc>
        <w:tc>
          <w:tcPr>
            <w:tcW w:w="1890" w:type="dxa"/>
            <w:tcBorders>
              <w:top w:val="single" w:color="4C1D95" w:sz="0" w:space="0"/>
              <w:left w:val="single" w:color="4C1D95" w:sz="0" w:space="0"/>
              <w:bottom w:val="single" w:color="4C1D95" w:sz="0" w:space="0"/>
              <w:right w:val="single" w:color="4C1D95" w:sz="0" w:space="0"/>
            </w:tcBorders>
            <w:shd w:val="clear" w:color="auto" w:fill="4C1D95"/>
            <w:tcMar>
              <w:top w:w="100" w:type="dxa"/>
              <w:left w:w="120" w:type="dxa"/>
              <w:bottom w:w="100" w:type="dxa"/>
              <w:right w:w="120" w:type="dxa"/>
            </w:tcMar>
            <w:vAlign w:val="center"/>
          </w:tcPr>
          <w:p w14:paraId="6C5CF772">
            <w:pPr>
              <w:jc w:val="center"/>
            </w:pPr>
            <w:r>
              <w:rPr>
                <w:rFonts w:ascii="Arial" w:hAnsi="Arial" w:eastAsia="Arial" w:cs="Arial"/>
                <w:b/>
                <w:bCs/>
                <w:color w:val="FFFFFF"/>
                <w:sz w:val="19"/>
                <w:szCs w:val="19"/>
              </w:rPr>
              <w:t>Tier 4 · Ages 18–21</w:t>
            </w:r>
          </w:p>
        </w:tc>
      </w:tr>
      <w:tr w14:paraId="12D2834D">
        <w:trPr>
          <w:tblHeader/>
        </w:trPr>
        <w:tc>
          <w:tcPr>
            <w:tcW w:w="1800" w:type="dxa"/>
            <w:tcBorders>
              <w:top w:val="single" w:color="1A2A4A" w:sz="0" w:space="0"/>
              <w:left w:val="single" w:color="1A2A4A" w:sz="0" w:space="0"/>
              <w:bottom w:val="single" w:color="1A2A4A" w:sz="0" w:space="0"/>
              <w:right w:val="single" w:color="1A2A4A" w:sz="0" w:space="0"/>
            </w:tcBorders>
            <w:shd w:val="clear" w:color="auto" w:fill="1A2A4A"/>
            <w:tcMar>
              <w:top w:w="100" w:type="dxa"/>
              <w:left w:w="120" w:type="dxa"/>
              <w:bottom w:w="100" w:type="dxa"/>
              <w:right w:w="120" w:type="dxa"/>
            </w:tcMar>
            <w:vAlign w:val="center"/>
          </w:tcPr>
          <w:p w14:paraId="7145419D">
            <w:pPr>
              <w:jc w:val="center"/>
            </w:pPr>
            <w:r>
              <w:rPr>
                <w:rFonts w:ascii="Arial" w:hAnsi="Arial" w:eastAsia="Arial" w:cs="Arial"/>
                <w:b/>
                <w:bCs/>
                <w:color w:val="A0B4C8"/>
                <w:sz w:val="19"/>
                <w:szCs w:val="19"/>
              </w:rPr>
              <w:t>Cognitive Theory</w:t>
            </w:r>
          </w:p>
        </w:tc>
        <w:tc>
          <w:tcPr>
            <w:tcW w:w="1890" w:type="dxa"/>
            <w:tcBorders>
              <w:top w:val="single" w:color="144A2A" w:sz="0" w:space="0"/>
              <w:left w:val="single" w:color="144A2A" w:sz="0" w:space="0"/>
              <w:bottom w:val="single" w:color="144A2A" w:sz="0" w:space="0"/>
              <w:right w:val="single" w:color="144A2A" w:sz="0" w:space="0"/>
            </w:tcBorders>
            <w:shd w:val="clear" w:color="auto" w:fill="144A2A"/>
            <w:tcMar>
              <w:top w:w="100" w:type="dxa"/>
              <w:left w:w="120" w:type="dxa"/>
              <w:bottom w:w="100" w:type="dxa"/>
              <w:right w:w="120" w:type="dxa"/>
            </w:tcMar>
            <w:vAlign w:val="center"/>
          </w:tcPr>
          <w:p w14:paraId="5C3A3B1D">
            <w:pPr>
              <w:jc w:val="center"/>
            </w:pPr>
            <w:r>
              <w:rPr>
                <w:rFonts w:ascii="Arial" w:hAnsi="Arial" w:eastAsia="Arial" w:cs="Arial"/>
                <w:b/>
                <w:bCs/>
                <w:color w:val="A7F3C0"/>
                <w:sz w:val="19"/>
                <w:szCs w:val="19"/>
              </w:rPr>
              <w:t>Piaget Concrete Operational</w:t>
            </w:r>
          </w:p>
        </w:tc>
        <w:tc>
          <w:tcPr>
            <w:tcW w:w="1890" w:type="dxa"/>
            <w:tcBorders>
              <w:top w:val="single" w:color="5C3A00" w:sz="0" w:space="0"/>
              <w:left w:val="single" w:color="5C3A00" w:sz="0" w:space="0"/>
              <w:bottom w:val="single" w:color="5C3A00" w:sz="0" w:space="0"/>
              <w:right w:val="single" w:color="5C3A00" w:sz="0" w:space="0"/>
            </w:tcBorders>
            <w:shd w:val="clear" w:color="auto" w:fill="5C3A00"/>
            <w:tcMar>
              <w:top w:w="100" w:type="dxa"/>
              <w:left w:w="120" w:type="dxa"/>
              <w:bottom w:w="100" w:type="dxa"/>
              <w:right w:w="120" w:type="dxa"/>
            </w:tcMar>
            <w:vAlign w:val="center"/>
          </w:tcPr>
          <w:p w14:paraId="20F5B83D">
            <w:pPr>
              <w:jc w:val="center"/>
            </w:pPr>
            <w:r>
              <w:rPr>
                <w:rFonts w:ascii="Arial" w:hAnsi="Arial" w:eastAsia="Arial" w:cs="Arial"/>
                <w:b/>
                <w:bCs/>
                <w:color w:val="FDE68A"/>
                <w:sz w:val="19"/>
                <w:szCs w:val="19"/>
              </w:rPr>
              <w:t>Vygotsky ZPD + Scaffolding</w:t>
            </w:r>
          </w:p>
        </w:tc>
        <w:tc>
          <w:tcPr>
            <w:tcW w:w="1890" w:type="dxa"/>
            <w:tcBorders>
              <w:top w:val="single" w:color="0C3B5E" w:sz="0" w:space="0"/>
              <w:left w:val="single" w:color="0C3B5E" w:sz="0" w:space="0"/>
              <w:bottom w:val="single" w:color="0C3B5E" w:sz="0" w:space="0"/>
              <w:right w:val="single" w:color="0C3B5E" w:sz="0" w:space="0"/>
            </w:tcBorders>
            <w:shd w:val="clear" w:color="auto" w:fill="0C3B5E"/>
            <w:tcMar>
              <w:top w:w="100" w:type="dxa"/>
              <w:left w:w="120" w:type="dxa"/>
              <w:bottom w:w="100" w:type="dxa"/>
              <w:right w:w="120" w:type="dxa"/>
            </w:tcMar>
            <w:vAlign w:val="center"/>
          </w:tcPr>
          <w:p w14:paraId="3F597873">
            <w:pPr>
              <w:jc w:val="center"/>
            </w:pPr>
            <w:r>
              <w:rPr>
                <w:rFonts w:ascii="Arial" w:hAnsi="Arial" w:eastAsia="Arial" w:cs="Arial"/>
                <w:b/>
                <w:bCs/>
                <w:color w:val="BAE6FD"/>
                <w:sz w:val="19"/>
                <w:szCs w:val="19"/>
              </w:rPr>
              <w:t>Formal Operations + PBL</w:t>
            </w:r>
          </w:p>
        </w:tc>
        <w:tc>
          <w:tcPr>
            <w:tcW w:w="1890" w:type="dxa"/>
            <w:tcBorders>
              <w:top w:val="single" w:color="2D1B69" w:sz="0" w:space="0"/>
              <w:left w:val="single" w:color="2D1B69" w:sz="0" w:space="0"/>
              <w:bottom w:val="single" w:color="2D1B69" w:sz="0" w:space="0"/>
              <w:right w:val="single" w:color="2D1B69" w:sz="0" w:space="0"/>
            </w:tcBorders>
            <w:shd w:val="clear" w:color="auto" w:fill="2D1B69"/>
            <w:tcMar>
              <w:top w:w="100" w:type="dxa"/>
              <w:left w:w="120" w:type="dxa"/>
              <w:bottom w:w="100" w:type="dxa"/>
              <w:right w:w="120" w:type="dxa"/>
            </w:tcMar>
            <w:vAlign w:val="center"/>
          </w:tcPr>
          <w:p w14:paraId="4BE6FDAF">
            <w:pPr>
              <w:jc w:val="center"/>
            </w:pPr>
            <w:r>
              <w:rPr>
                <w:rFonts w:ascii="Arial" w:hAnsi="Arial" w:eastAsia="Arial" w:cs="Arial"/>
                <w:b/>
                <w:bCs/>
                <w:color w:val="DDD6FE"/>
                <w:sz w:val="19"/>
                <w:szCs w:val="19"/>
              </w:rPr>
              <w:t>Andragogy (Knowles)</w:t>
            </w:r>
          </w:p>
        </w:tc>
      </w:tr>
      <w:tr w14:paraId="5D54A67E">
        <w:tc>
          <w:tcPr>
            <w:tcW w:w="1800" w:type="dxa"/>
            <w:tcBorders>
              <w:top w:val="single" w:color="E2E8F0" w:sz="0" w:space="0"/>
              <w:left w:val="single" w:color="E2E8F0" w:sz="0" w:space="0"/>
              <w:bottom w:val="single" w:color="E2E8F0" w:sz="0" w:space="0"/>
              <w:right w:val="single" w:color="E2E8F0" w:sz="0" w:space="0"/>
            </w:tcBorders>
            <w:shd w:val="clear" w:color="auto" w:fill="0D1B4B"/>
            <w:tcMar>
              <w:top w:w="80" w:type="dxa"/>
              <w:left w:w="110" w:type="dxa"/>
              <w:bottom w:w="80" w:type="dxa"/>
              <w:right w:w="110" w:type="dxa"/>
            </w:tcMar>
            <w:vAlign w:val="center"/>
          </w:tcPr>
          <w:p w14:paraId="0AC07E9E">
            <w:r>
              <w:rPr>
                <w:rFonts w:ascii="Arial" w:hAnsi="Arial" w:eastAsia="Arial" w:cs="Arial"/>
                <w:b/>
                <w:bCs/>
                <w:color w:val="FFFFFF"/>
                <w:sz w:val="18"/>
                <w:szCs w:val="18"/>
              </w:rPr>
              <w:t>CSTA Level</w:t>
            </w:r>
          </w:p>
        </w:tc>
        <w:tc>
          <w:tcPr>
            <w:tcW w:w="1890" w:type="dxa"/>
            <w:tcBorders>
              <w:top w:val="single" w:color="E2E8F0" w:sz="0" w:space="0"/>
              <w:left w:val="single" w:color="E2E8F0" w:sz="0" w:space="0"/>
              <w:bottom w:val="single" w:color="E2E8F0" w:sz="0" w:space="0"/>
              <w:right w:val="single" w:color="E2E8F0" w:sz="0" w:space="0"/>
            </w:tcBorders>
            <w:shd w:val="clear" w:color="auto" w:fill="FFFFFF"/>
            <w:tcMar>
              <w:top w:w="80" w:type="dxa"/>
              <w:left w:w="110" w:type="dxa"/>
              <w:bottom w:w="80" w:type="dxa"/>
              <w:right w:w="110" w:type="dxa"/>
            </w:tcMar>
            <w:vAlign w:val="top"/>
          </w:tcPr>
          <w:p w14:paraId="20743BFB">
            <w:pPr>
              <w:spacing w:after="30"/>
            </w:pPr>
            <w:r>
              <w:rPr>
                <w:rFonts w:ascii="Arial" w:hAnsi="Arial" w:eastAsia="Arial" w:cs="Arial"/>
                <w:color w:val="0D1B4B"/>
                <w:sz w:val="17"/>
                <w:szCs w:val="17"/>
              </w:rPr>
              <w:t>Level 1A (K–2)</w:t>
            </w:r>
          </w:p>
        </w:tc>
        <w:tc>
          <w:tcPr>
            <w:tcW w:w="1890" w:type="dxa"/>
            <w:tcBorders>
              <w:top w:val="single" w:color="E2E8F0" w:sz="0" w:space="0"/>
              <w:left w:val="single" w:color="E2E8F0" w:sz="0" w:space="0"/>
              <w:bottom w:val="single" w:color="E2E8F0" w:sz="0" w:space="0"/>
              <w:right w:val="single" w:color="E2E8F0" w:sz="0" w:space="0"/>
            </w:tcBorders>
            <w:shd w:val="clear" w:color="auto" w:fill="FFFFFF"/>
            <w:tcMar>
              <w:top w:w="80" w:type="dxa"/>
              <w:left w:w="110" w:type="dxa"/>
              <w:bottom w:w="80" w:type="dxa"/>
              <w:right w:w="110" w:type="dxa"/>
            </w:tcMar>
            <w:vAlign w:val="top"/>
          </w:tcPr>
          <w:p w14:paraId="432896E5">
            <w:pPr>
              <w:spacing w:after="30"/>
            </w:pPr>
            <w:r>
              <w:rPr>
                <w:rFonts w:ascii="Arial" w:hAnsi="Arial" w:eastAsia="Arial" w:cs="Arial"/>
                <w:color w:val="0D1B4B"/>
                <w:sz w:val="17"/>
                <w:szCs w:val="17"/>
              </w:rPr>
              <w:t>Level 1B + Level 2
(Gr 3–8)</w:t>
            </w:r>
          </w:p>
        </w:tc>
        <w:tc>
          <w:tcPr>
            <w:tcW w:w="1890" w:type="dxa"/>
            <w:tcBorders>
              <w:top w:val="single" w:color="E2E8F0" w:sz="0" w:space="0"/>
              <w:left w:val="single" w:color="E2E8F0" w:sz="0" w:space="0"/>
              <w:bottom w:val="single" w:color="E2E8F0" w:sz="0" w:space="0"/>
              <w:right w:val="single" w:color="E2E8F0" w:sz="0" w:space="0"/>
            </w:tcBorders>
            <w:shd w:val="clear" w:color="auto" w:fill="FFFFFF"/>
            <w:tcMar>
              <w:top w:w="80" w:type="dxa"/>
              <w:left w:w="110" w:type="dxa"/>
              <w:bottom w:w="80" w:type="dxa"/>
              <w:right w:w="110" w:type="dxa"/>
            </w:tcMar>
            <w:vAlign w:val="top"/>
          </w:tcPr>
          <w:p w14:paraId="2EF291D5">
            <w:pPr>
              <w:spacing w:after="30"/>
            </w:pPr>
            <w:r>
              <w:rPr>
                <w:rFonts w:ascii="Arial" w:hAnsi="Arial" w:eastAsia="Arial" w:cs="Arial"/>
                <w:color w:val="0D1B4B"/>
                <w:sz w:val="17"/>
                <w:szCs w:val="17"/>
              </w:rPr>
              <w:t>Level 2 + Level 3A
(Gr 6–10)</w:t>
            </w:r>
          </w:p>
        </w:tc>
        <w:tc>
          <w:tcPr>
            <w:tcW w:w="1890" w:type="dxa"/>
            <w:tcBorders>
              <w:top w:val="single" w:color="E2E8F0" w:sz="0" w:space="0"/>
              <w:left w:val="single" w:color="E2E8F0" w:sz="0" w:space="0"/>
              <w:bottom w:val="single" w:color="E2E8F0" w:sz="0" w:space="0"/>
              <w:right w:val="single" w:color="E2E8F0" w:sz="0" w:space="0"/>
            </w:tcBorders>
            <w:shd w:val="clear" w:color="auto" w:fill="FFFFFF"/>
            <w:tcMar>
              <w:top w:w="80" w:type="dxa"/>
              <w:left w:w="110" w:type="dxa"/>
              <w:bottom w:w="80" w:type="dxa"/>
              <w:right w:w="110" w:type="dxa"/>
            </w:tcMar>
            <w:vAlign w:val="top"/>
          </w:tcPr>
          <w:p w14:paraId="1B646334">
            <w:pPr>
              <w:spacing w:after="30"/>
            </w:pPr>
            <w:r>
              <w:rPr>
                <w:rFonts w:ascii="Arial" w:hAnsi="Arial" w:eastAsia="Arial" w:cs="Arial"/>
                <w:color w:val="0D1B4B"/>
                <w:sz w:val="17"/>
                <w:szCs w:val="17"/>
              </w:rPr>
              <w:t>Level 3B
(Gr 11–12+)</w:t>
            </w:r>
          </w:p>
        </w:tc>
      </w:tr>
      <w:tr w14:paraId="13B0D4F8">
        <w:tc>
          <w:tcPr>
            <w:tcW w:w="1800" w:type="dxa"/>
            <w:tcBorders>
              <w:top w:val="single" w:color="E2E8F0" w:sz="0" w:space="0"/>
              <w:left w:val="single" w:color="E2E8F0" w:sz="0" w:space="0"/>
              <w:bottom w:val="single" w:color="E2E8F0" w:sz="0" w:space="0"/>
              <w:right w:val="single" w:color="E2E8F0" w:sz="0" w:space="0"/>
            </w:tcBorders>
            <w:shd w:val="clear" w:color="auto" w:fill="1A3A5F"/>
            <w:tcMar>
              <w:top w:w="80" w:type="dxa"/>
              <w:left w:w="110" w:type="dxa"/>
              <w:bottom w:w="80" w:type="dxa"/>
              <w:right w:w="110" w:type="dxa"/>
            </w:tcMar>
            <w:vAlign w:val="center"/>
          </w:tcPr>
          <w:p w14:paraId="0A890FD2">
            <w:r>
              <w:rPr>
                <w:rFonts w:ascii="Arial" w:hAnsi="Arial" w:eastAsia="Arial" w:cs="Arial"/>
                <w:b/>
                <w:bCs/>
                <w:color w:val="FFFFFF"/>
                <w:sz w:val="18"/>
                <w:szCs w:val="18"/>
              </w:rPr>
              <w:t>Raw text code
allowed?</w:t>
            </w:r>
          </w:p>
        </w:tc>
        <w:tc>
          <w:tcPr>
            <w:tcW w:w="1890" w:type="dxa"/>
            <w:tcBorders>
              <w:top w:val="single" w:color="E2E8F0" w:sz="0" w:space="0"/>
              <w:left w:val="single" w:color="E2E8F0" w:sz="0" w:space="0"/>
              <w:bottom w:val="single" w:color="E2E8F0" w:sz="0" w:space="0"/>
              <w:right w:val="single" w:color="E2E8F0" w:sz="0" w:space="0"/>
            </w:tcBorders>
            <w:shd w:val="clear" w:color="auto" w:fill="F8FAFC"/>
            <w:tcMar>
              <w:top w:w="80" w:type="dxa"/>
              <w:left w:w="110" w:type="dxa"/>
              <w:bottom w:w="80" w:type="dxa"/>
              <w:right w:w="110" w:type="dxa"/>
            </w:tcMar>
            <w:vAlign w:val="top"/>
          </w:tcPr>
          <w:p w14:paraId="44C5C7D3">
            <w:pPr>
              <w:spacing w:after="30"/>
            </w:pPr>
            <w:r>
              <w:rPr>
                <w:rFonts w:ascii="Arial" w:hAnsi="Arial" w:eastAsia="Arial" w:cs="Arial"/>
                <w:color w:val="0D1B4B"/>
                <w:sz w:val="17"/>
                <w:szCs w:val="17"/>
              </w:rPr>
              <w:t>❌  Never</w:t>
            </w:r>
          </w:p>
        </w:tc>
        <w:tc>
          <w:tcPr>
            <w:tcW w:w="1890" w:type="dxa"/>
            <w:tcBorders>
              <w:top w:val="single" w:color="E2E8F0" w:sz="0" w:space="0"/>
              <w:left w:val="single" w:color="E2E8F0" w:sz="0" w:space="0"/>
              <w:bottom w:val="single" w:color="E2E8F0" w:sz="0" w:space="0"/>
              <w:right w:val="single" w:color="E2E8F0" w:sz="0" w:space="0"/>
            </w:tcBorders>
            <w:shd w:val="clear" w:color="auto" w:fill="F8FAFC"/>
            <w:tcMar>
              <w:top w:w="80" w:type="dxa"/>
              <w:left w:w="110" w:type="dxa"/>
              <w:bottom w:w="80" w:type="dxa"/>
              <w:right w:w="110" w:type="dxa"/>
            </w:tcMar>
            <w:vAlign w:val="top"/>
          </w:tcPr>
          <w:p w14:paraId="6D88069F">
            <w:pPr>
              <w:spacing w:after="30"/>
            </w:pPr>
            <w:r>
              <w:rPr>
                <w:rFonts w:ascii="Arial" w:hAnsi="Arial" w:eastAsia="Arial" w:cs="Arial"/>
                <w:color w:val="0D1B4B"/>
                <w:sz w:val="17"/>
                <w:szCs w:val="17"/>
              </w:rPr>
              <w:t>⚠️  Limited
(simple syntax only,
heavy scaffolding)</w:t>
            </w:r>
          </w:p>
        </w:tc>
        <w:tc>
          <w:tcPr>
            <w:tcW w:w="1890" w:type="dxa"/>
            <w:tcBorders>
              <w:top w:val="single" w:color="E2E8F0" w:sz="0" w:space="0"/>
              <w:left w:val="single" w:color="E2E8F0" w:sz="0" w:space="0"/>
              <w:bottom w:val="single" w:color="E2E8F0" w:sz="0" w:space="0"/>
              <w:right w:val="single" w:color="E2E8F0" w:sz="0" w:space="0"/>
            </w:tcBorders>
            <w:shd w:val="clear" w:color="auto" w:fill="F8FAFC"/>
            <w:tcMar>
              <w:top w:w="80" w:type="dxa"/>
              <w:left w:w="110" w:type="dxa"/>
              <w:bottom w:w="80" w:type="dxa"/>
              <w:right w:w="110" w:type="dxa"/>
            </w:tcMar>
            <w:vAlign w:val="top"/>
          </w:tcPr>
          <w:p w14:paraId="2B572FE5">
            <w:pPr>
              <w:spacing w:after="30"/>
            </w:pPr>
            <w:r>
              <w:rPr>
                <w:rFonts w:ascii="Arial" w:hAnsi="Arial" w:eastAsia="Arial" w:cs="Arial"/>
                <w:color w:val="0D1B4B"/>
                <w:sz w:val="17"/>
                <w:szCs w:val="17"/>
              </w:rPr>
              <w:t>✅  Yes
(Python / JS)</w:t>
            </w:r>
          </w:p>
        </w:tc>
        <w:tc>
          <w:tcPr>
            <w:tcW w:w="1890" w:type="dxa"/>
            <w:tcBorders>
              <w:top w:val="single" w:color="E2E8F0" w:sz="0" w:space="0"/>
              <w:left w:val="single" w:color="E2E8F0" w:sz="0" w:space="0"/>
              <w:bottom w:val="single" w:color="E2E8F0" w:sz="0" w:space="0"/>
              <w:right w:val="single" w:color="E2E8F0" w:sz="0" w:space="0"/>
            </w:tcBorders>
            <w:shd w:val="clear" w:color="auto" w:fill="F8FAFC"/>
            <w:tcMar>
              <w:top w:w="80" w:type="dxa"/>
              <w:left w:w="110" w:type="dxa"/>
              <w:bottom w:w="80" w:type="dxa"/>
              <w:right w:w="110" w:type="dxa"/>
            </w:tcMar>
            <w:vAlign w:val="top"/>
          </w:tcPr>
          <w:p w14:paraId="56247CB4">
            <w:pPr>
              <w:spacing w:after="30"/>
            </w:pPr>
            <w:r>
              <w:rPr>
                <w:rFonts w:ascii="Arial" w:hAnsi="Arial" w:eastAsia="Arial" w:cs="Arial"/>
                <w:color w:val="0D1B4B"/>
                <w:sz w:val="17"/>
                <w:szCs w:val="17"/>
              </w:rPr>
              <w:t>✅  Yes
(Python / JS / multi-platform)</w:t>
            </w:r>
          </w:p>
        </w:tc>
      </w:tr>
      <w:tr w14:paraId="08B05DA1">
        <w:tc>
          <w:tcPr>
            <w:tcW w:w="1800" w:type="dxa"/>
            <w:tcBorders>
              <w:top w:val="single" w:color="E2E8F0" w:sz="0" w:space="0"/>
              <w:left w:val="single" w:color="E2E8F0" w:sz="0" w:space="0"/>
              <w:bottom w:val="single" w:color="E2E8F0" w:sz="0" w:space="0"/>
              <w:right w:val="single" w:color="E2E8F0" w:sz="0" w:space="0"/>
            </w:tcBorders>
            <w:shd w:val="clear" w:color="auto" w:fill="1A3A5F"/>
            <w:tcMar>
              <w:top w:w="80" w:type="dxa"/>
              <w:left w:w="110" w:type="dxa"/>
              <w:bottom w:w="80" w:type="dxa"/>
              <w:right w:w="110" w:type="dxa"/>
            </w:tcMar>
            <w:vAlign w:val="center"/>
          </w:tcPr>
          <w:p w14:paraId="735CEC45">
            <w:r>
              <w:rPr>
                <w:rFonts w:ascii="Arial" w:hAnsi="Arial" w:eastAsia="Arial" w:cs="Arial"/>
                <w:b/>
                <w:bCs/>
                <w:color w:val="FFFFFF"/>
                <w:sz w:val="18"/>
                <w:szCs w:val="18"/>
              </w:rPr>
              <w:t>Primary
content format</w:t>
            </w:r>
          </w:p>
        </w:tc>
        <w:tc>
          <w:tcPr>
            <w:tcW w:w="1890" w:type="dxa"/>
            <w:tcBorders>
              <w:top w:val="single" w:color="E2E8F0" w:sz="0" w:space="0"/>
              <w:left w:val="single" w:color="E2E8F0" w:sz="0" w:space="0"/>
              <w:bottom w:val="single" w:color="E2E8F0" w:sz="0" w:space="0"/>
              <w:right w:val="single" w:color="E2E8F0" w:sz="0" w:space="0"/>
            </w:tcBorders>
            <w:shd w:val="clear" w:color="auto" w:fill="FFFFFF"/>
            <w:tcMar>
              <w:top w:w="80" w:type="dxa"/>
              <w:left w:w="110" w:type="dxa"/>
              <w:bottom w:w="80" w:type="dxa"/>
              <w:right w:w="110" w:type="dxa"/>
            </w:tcMar>
            <w:vAlign w:val="top"/>
          </w:tcPr>
          <w:p w14:paraId="6077A226">
            <w:pPr>
              <w:spacing w:after="30"/>
            </w:pPr>
            <w:r>
              <w:rPr>
                <w:rFonts w:ascii="Arial" w:hAnsi="Arial" w:eastAsia="Arial" w:cs="Arial"/>
                <w:color w:val="0D1B4B"/>
                <w:sz w:val="17"/>
                <w:szCs w:val="17"/>
              </w:rPr>
              <w:t>Visual blocks /
drag-drop / story-driven</w:t>
            </w:r>
          </w:p>
        </w:tc>
        <w:tc>
          <w:tcPr>
            <w:tcW w:w="1890" w:type="dxa"/>
            <w:tcBorders>
              <w:top w:val="single" w:color="E2E8F0" w:sz="0" w:space="0"/>
              <w:left w:val="single" w:color="E2E8F0" w:sz="0" w:space="0"/>
              <w:bottom w:val="single" w:color="E2E8F0" w:sz="0" w:space="0"/>
              <w:right w:val="single" w:color="E2E8F0" w:sz="0" w:space="0"/>
            </w:tcBorders>
            <w:shd w:val="clear" w:color="auto" w:fill="FFFFFF"/>
            <w:tcMar>
              <w:top w:w="80" w:type="dxa"/>
              <w:left w:w="110" w:type="dxa"/>
              <w:bottom w:w="80" w:type="dxa"/>
              <w:right w:w="110" w:type="dxa"/>
            </w:tcMar>
            <w:vAlign w:val="top"/>
          </w:tcPr>
          <w:p w14:paraId="4BEC26C8">
            <w:pPr>
              <w:spacing w:after="30"/>
            </w:pPr>
            <w:r>
              <w:rPr>
                <w:rFonts w:ascii="Arial" w:hAnsi="Arial" w:eastAsia="Arial" w:cs="Arial"/>
                <w:color w:val="0D1B4B"/>
                <w:sz w:val="17"/>
                <w:szCs w:val="17"/>
              </w:rPr>
              <w:t>Blocks → Text bridge
(Blockly to Python)</w:t>
            </w:r>
          </w:p>
        </w:tc>
        <w:tc>
          <w:tcPr>
            <w:tcW w:w="1890" w:type="dxa"/>
            <w:tcBorders>
              <w:top w:val="single" w:color="E2E8F0" w:sz="0" w:space="0"/>
              <w:left w:val="single" w:color="E2E8F0" w:sz="0" w:space="0"/>
              <w:bottom w:val="single" w:color="E2E8F0" w:sz="0" w:space="0"/>
              <w:right w:val="single" w:color="E2E8F0" w:sz="0" w:space="0"/>
            </w:tcBorders>
            <w:shd w:val="clear" w:color="auto" w:fill="FFFFFF"/>
            <w:tcMar>
              <w:top w:w="80" w:type="dxa"/>
              <w:left w:w="110" w:type="dxa"/>
              <w:bottom w:w="80" w:type="dxa"/>
              <w:right w:w="110" w:type="dxa"/>
            </w:tcMar>
            <w:vAlign w:val="top"/>
          </w:tcPr>
          <w:p w14:paraId="6B157F08">
            <w:pPr>
              <w:spacing w:after="30"/>
            </w:pPr>
            <w:r>
              <w:rPr>
                <w:rFonts w:ascii="Arial" w:hAnsi="Arial" w:eastAsia="Arial" w:cs="Arial"/>
                <w:color w:val="0D1B4B"/>
                <w:sz w:val="17"/>
                <w:szCs w:val="17"/>
              </w:rPr>
              <w:t>Text code
+ real projects</w:t>
            </w:r>
          </w:p>
        </w:tc>
        <w:tc>
          <w:tcPr>
            <w:tcW w:w="1890" w:type="dxa"/>
            <w:tcBorders>
              <w:top w:val="single" w:color="E2E8F0" w:sz="0" w:space="0"/>
              <w:left w:val="single" w:color="E2E8F0" w:sz="0" w:space="0"/>
              <w:bottom w:val="single" w:color="E2E8F0" w:sz="0" w:space="0"/>
              <w:right w:val="single" w:color="E2E8F0" w:sz="0" w:space="0"/>
            </w:tcBorders>
            <w:shd w:val="clear" w:color="auto" w:fill="FFFFFF"/>
            <w:tcMar>
              <w:top w:w="80" w:type="dxa"/>
              <w:left w:w="110" w:type="dxa"/>
              <w:bottom w:w="80" w:type="dxa"/>
              <w:right w:w="110" w:type="dxa"/>
            </w:tcMar>
            <w:vAlign w:val="top"/>
          </w:tcPr>
          <w:p w14:paraId="01129088">
            <w:pPr>
              <w:spacing w:after="30"/>
            </w:pPr>
            <w:r>
              <w:rPr>
                <w:rFonts w:ascii="Arial" w:hAnsi="Arial" w:eastAsia="Arial" w:cs="Arial"/>
                <w:color w:val="0D1B4B"/>
                <w:sz w:val="17"/>
                <w:szCs w:val="17"/>
              </w:rPr>
              <w:t>Text code +
engineering tooling
(GitHub, APIs, tests)</w:t>
            </w:r>
          </w:p>
        </w:tc>
      </w:tr>
      <w:tr w14:paraId="024152DC">
        <w:tc>
          <w:tcPr>
            <w:tcW w:w="1800" w:type="dxa"/>
            <w:tcBorders>
              <w:top w:val="single" w:color="E2E8F0" w:sz="0" w:space="0"/>
              <w:left w:val="single" w:color="E2E8F0" w:sz="0" w:space="0"/>
              <w:bottom w:val="single" w:color="E2E8F0" w:sz="0" w:space="0"/>
              <w:right w:val="single" w:color="E2E8F0" w:sz="0" w:space="0"/>
            </w:tcBorders>
            <w:shd w:val="clear" w:color="auto" w:fill="1A3A5F"/>
            <w:tcMar>
              <w:top w:w="80" w:type="dxa"/>
              <w:left w:w="110" w:type="dxa"/>
              <w:bottom w:w="80" w:type="dxa"/>
              <w:right w:w="110" w:type="dxa"/>
            </w:tcMar>
            <w:vAlign w:val="center"/>
          </w:tcPr>
          <w:p w14:paraId="79B70C37">
            <w:r>
              <w:rPr>
                <w:rFonts w:ascii="Arial" w:hAnsi="Arial" w:eastAsia="Arial" w:cs="Arial"/>
                <w:b/>
                <w:bCs/>
                <w:color w:val="FFFFFF"/>
                <w:sz w:val="18"/>
                <w:szCs w:val="18"/>
              </w:rPr>
              <w:t>Metaphor /
story required?</w:t>
            </w:r>
          </w:p>
        </w:tc>
        <w:tc>
          <w:tcPr>
            <w:tcW w:w="1890" w:type="dxa"/>
            <w:tcBorders>
              <w:top w:val="single" w:color="E2E8F0" w:sz="0" w:space="0"/>
              <w:left w:val="single" w:color="E2E8F0" w:sz="0" w:space="0"/>
              <w:bottom w:val="single" w:color="E2E8F0" w:sz="0" w:space="0"/>
              <w:right w:val="single" w:color="E2E8F0" w:sz="0" w:space="0"/>
            </w:tcBorders>
            <w:shd w:val="clear" w:color="auto" w:fill="F8FAFC"/>
            <w:tcMar>
              <w:top w:w="80" w:type="dxa"/>
              <w:left w:w="110" w:type="dxa"/>
              <w:bottom w:w="80" w:type="dxa"/>
              <w:right w:w="110" w:type="dxa"/>
            </w:tcMar>
            <w:vAlign w:val="top"/>
          </w:tcPr>
          <w:p w14:paraId="6EF751A1">
            <w:pPr>
              <w:spacing w:after="30"/>
            </w:pPr>
            <w:r>
              <w:rPr>
                <w:rFonts w:ascii="Arial" w:hAnsi="Arial" w:eastAsia="Arial" w:cs="Arial"/>
                <w:color w:val="0D1B4B"/>
                <w:sz w:val="17"/>
                <w:szCs w:val="17"/>
              </w:rPr>
              <w:t>✅  Mandatory
All concepts need
physical/story anchor</w:t>
            </w:r>
          </w:p>
        </w:tc>
        <w:tc>
          <w:tcPr>
            <w:tcW w:w="1890" w:type="dxa"/>
            <w:tcBorders>
              <w:top w:val="single" w:color="E2E8F0" w:sz="0" w:space="0"/>
              <w:left w:val="single" w:color="E2E8F0" w:sz="0" w:space="0"/>
              <w:bottom w:val="single" w:color="E2E8F0" w:sz="0" w:space="0"/>
              <w:right w:val="single" w:color="E2E8F0" w:sz="0" w:space="0"/>
            </w:tcBorders>
            <w:shd w:val="clear" w:color="auto" w:fill="F8FAFC"/>
            <w:tcMar>
              <w:top w:w="80" w:type="dxa"/>
              <w:left w:w="110" w:type="dxa"/>
              <w:bottom w:w="80" w:type="dxa"/>
              <w:right w:w="110" w:type="dxa"/>
            </w:tcMar>
            <w:vAlign w:val="top"/>
          </w:tcPr>
          <w:p w14:paraId="622CA775">
            <w:pPr>
              <w:spacing w:after="30"/>
            </w:pPr>
            <w:r>
              <w:rPr>
                <w:rFonts w:ascii="Arial" w:hAnsi="Arial" w:eastAsia="Arial" w:cs="Arial"/>
                <w:color w:val="0D1B4B"/>
                <w:sz w:val="17"/>
                <w:szCs w:val="17"/>
              </w:rPr>
              <w:t>✅  Recommended
Use to introduce
new abstractions</w:t>
            </w:r>
          </w:p>
        </w:tc>
        <w:tc>
          <w:tcPr>
            <w:tcW w:w="1890" w:type="dxa"/>
            <w:tcBorders>
              <w:top w:val="single" w:color="E2E8F0" w:sz="0" w:space="0"/>
              <w:left w:val="single" w:color="E2E8F0" w:sz="0" w:space="0"/>
              <w:bottom w:val="single" w:color="E2E8F0" w:sz="0" w:space="0"/>
              <w:right w:val="single" w:color="E2E8F0" w:sz="0" w:space="0"/>
            </w:tcBorders>
            <w:shd w:val="clear" w:color="auto" w:fill="F8FAFC"/>
            <w:tcMar>
              <w:top w:w="80" w:type="dxa"/>
              <w:left w:w="110" w:type="dxa"/>
              <w:bottom w:w="80" w:type="dxa"/>
              <w:right w:w="110" w:type="dxa"/>
            </w:tcMar>
            <w:vAlign w:val="top"/>
          </w:tcPr>
          <w:p w14:paraId="2C27F13C">
            <w:pPr>
              <w:spacing w:after="30"/>
            </w:pPr>
            <w:r>
              <w:rPr>
                <w:rFonts w:ascii="Arial" w:hAnsi="Arial" w:eastAsia="Arial" w:cs="Arial"/>
                <w:color w:val="0D1B4B"/>
                <w:sz w:val="17"/>
                <w:szCs w:val="17"/>
              </w:rPr>
              <w:t>Optional
Only for
novel concepts</w:t>
            </w:r>
          </w:p>
        </w:tc>
        <w:tc>
          <w:tcPr>
            <w:tcW w:w="1890" w:type="dxa"/>
            <w:tcBorders>
              <w:top w:val="single" w:color="E2E8F0" w:sz="0" w:space="0"/>
              <w:left w:val="single" w:color="E2E8F0" w:sz="0" w:space="0"/>
              <w:bottom w:val="single" w:color="E2E8F0" w:sz="0" w:space="0"/>
              <w:right w:val="single" w:color="E2E8F0" w:sz="0" w:space="0"/>
            </w:tcBorders>
            <w:shd w:val="clear" w:color="auto" w:fill="F8FAFC"/>
            <w:tcMar>
              <w:top w:w="80" w:type="dxa"/>
              <w:left w:w="110" w:type="dxa"/>
              <w:bottom w:w="80" w:type="dxa"/>
              <w:right w:w="110" w:type="dxa"/>
            </w:tcMar>
            <w:vAlign w:val="top"/>
          </w:tcPr>
          <w:p w14:paraId="537D8492">
            <w:pPr>
              <w:spacing w:after="30"/>
            </w:pPr>
            <w:r>
              <w:rPr>
                <w:rFonts w:ascii="Arial" w:hAnsi="Arial" w:eastAsia="Arial" w:cs="Arial"/>
                <w:color w:val="0D1B4B"/>
                <w:sz w:val="17"/>
                <w:szCs w:val="17"/>
              </w:rPr>
              <w:t>❌  Not needed
Frame as
real-world problem</w:t>
            </w:r>
          </w:p>
        </w:tc>
      </w:tr>
      <w:tr w14:paraId="6C1EBEB5">
        <w:tc>
          <w:tcPr>
            <w:tcW w:w="1800" w:type="dxa"/>
            <w:tcBorders>
              <w:top w:val="single" w:color="E2E8F0" w:sz="0" w:space="0"/>
              <w:left w:val="single" w:color="E2E8F0" w:sz="0" w:space="0"/>
              <w:bottom w:val="single" w:color="E2E8F0" w:sz="0" w:space="0"/>
              <w:right w:val="single" w:color="E2E8F0" w:sz="0" w:space="0"/>
            </w:tcBorders>
            <w:shd w:val="clear" w:color="auto" w:fill="1A3A5F"/>
            <w:tcMar>
              <w:top w:w="80" w:type="dxa"/>
              <w:left w:w="110" w:type="dxa"/>
              <w:bottom w:w="80" w:type="dxa"/>
              <w:right w:w="110" w:type="dxa"/>
            </w:tcMar>
            <w:vAlign w:val="center"/>
          </w:tcPr>
          <w:p w14:paraId="036CA749">
            <w:r>
              <w:rPr>
                <w:rFonts w:ascii="Arial" w:hAnsi="Arial" w:eastAsia="Arial" w:cs="Arial"/>
                <w:b/>
                <w:bCs/>
                <w:color w:val="FFFFFF"/>
                <w:sz w:val="18"/>
                <w:szCs w:val="18"/>
              </w:rPr>
              <w:t>Exercise types</w:t>
            </w:r>
          </w:p>
        </w:tc>
        <w:tc>
          <w:tcPr>
            <w:tcW w:w="1890" w:type="dxa"/>
            <w:tcBorders>
              <w:top w:val="single" w:color="E2E8F0" w:sz="0" w:space="0"/>
              <w:left w:val="single" w:color="E2E8F0" w:sz="0" w:space="0"/>
              <w:bottom w:val="single" w:color="E2E8F0" w:sz="0" w:space="0"/>
              <w:right w:val="single" w:color="E2E8F0" w:sz="0" w:space="0"/>
            </w:tcBorders>
            <w:shd w:val="clear" w:color="auto" w:fill="FFFFFF"/>
            <w:tcMar>
              <w:top w:w="80" w:type="dxa"/>
              <w:left w:w="110" w:type="dxa"/>
              <w:bottom w:w="80" w:type="dxa"/>
              <w:right w:w="110" w:type="dxa"/>
            </w:tcMar>
            <w:vAlign w:val="top"/>
          </w:tcPr>
          <w:p w14:paraId="2831F026">
            <w:pPr>
              <w:spacing w:after="30"/>
            </w:pPr>
            <w:r>
              <w:rPr>
                <w:rFonts w:ascii="Arial" w:hAnsi="Arial" w:eastAsia="Arial" w:cs="Arial"/>
                <w:color w:val="0D1B4B"/>
                <w:sz w:val="17"/>
                <w:szCs w:val="17"/>
              </w:rPr>
              <w:t>Sequence ordering</w:t>
            </w:r>
          </w:p>
          <w:p w14:paraId="159B8746">
            <w:pPr>
              <w:spacing w:after="30"/>
            </w:pPr>
            <w:r>
              <w:rPr>
                <w:rFonts w:ascii="Arial" w:hAnsi="Arial" w:eastAsia="Arial" w:cs="Arial"/>
                <w:color w:val="0D1B4B"/>
                <w:sz w:val="17"/>
                <w:szCs w:val="17"/>
              </w:rPr>
              <w:t>Drag-drop blocks</w:t>
            </w:r>
          </w:p>
          <w:p w14:paraId="00045AF8">
            <w:pPr>
              <w:spacing w:after="30"/>
            </w:pPr>
            <w:r>
              <w:rPr>
                <w:rFonts w:ascii="Arial" w:hAnsi="Arial" w:eastAsia="Arial" w:cs="Arial"/>
                <w:color w:val="0D1B4B"/>
                <w:sz w:val="17"/>
                <w:szCs w:val="17"/>
              </w:rPr>
              <w:t>Spot-the-error (visual)</w:t>
            </w:r>
          </w:p>
          <w:p w14:paraId="7E1D1094">
            <w:pPr>
              <w:spacing w:after="30"/>
            </w:pPr>
            <w:r>
              <w:rPr>
                <w:rFonts w:ascii="Arial" w:hAnsi="Arial" w:eastAsia="Arial" w:cs="Arial"/>
                <w:color w:val="0D1B4B"/>
                <w:sz w:val="17"/>
                <w:szCs w:val="17"/>
              </w:rPr>
              <w:t>Story completion</w:t>
            </w:r>
          </w:p>
        </w:tc>
        <w:tc>
          <w:tcPr>
            <w:tcW w:w="1890" w:type="dxa"/>
            <w:tcBorders>
              <w:top w:val="single" w:color="E2E8F0" w:sz="0" w:space="0"/>
              <w:left w:val="single" w:color="E2E8F0" w:sz="0" w:space="0"/>
              <w:bottom w:val="single" w:color="E2E8F0" w:sz="0" w:space="0"/>
              <w:right w:val="single" w:color="E2E8F0" w:sz="0" w:space="0"/>
            </w:tcBorders>
            <w:shd w:val="clear" w:color="auto" w:fill="FFFFFF"/>
            <w:tcMar>
              <w:top w:w="80" w:type="dxa"/>
              <w:left w:w="110" w:type="dxa"/>
              <w:bottom w:w="80" w:type="dxa"/>
              <w:right w:w="110" w:type="dxa"/>
            </w:tcMar>
            <w:vAlign w:val="top"/>
          </w:tcPr>
          <w:p w14:paraId="00D7F626">
            <w:pPr>
              <w:spacing w:after="30"/>
            </w:pPr>
            <w:r>
              <w:rPr>
                <w:rFonts w:ascii="Arial" w:hAnsi="Arial" w:eastAsia="Arial" w:cs="Arial"/>
                <w:color w:val="0D1B4B"/>
                <w:sz w:val="17"/>
                <w:szCs w:val="17"/>
              </w:rPr>
              <w:t>Fill-in-the-blank</w:t>
            </w:r>
          </w:p>
          <w:p w14:paraId="367F6863">
            <w:pPr>
              <w:spacing w:after="30"/>
            </w:pPr>
            <w:r>
              <w:rPr>
                <w:rFonts w:ascii="Arial" w:hAnsi="Arial" w:eastAsia="Arial" w:cs="Arial"/>
                <w:color w:val="0D1B4B"/>
                <w:sz w:val="17"/>
                <w:szCs w:val="17"/>
              </w:rPr>
              <w:t>Fix-the-bug (simple)</w:t>
            </w:r>
          </w:p>
          <w:p w14:paraId="6F987624">
            <w:pPr>
              <w:spacing w:after="30"/>
            </w:pPr>
            <w:r>
              <w:rPr>
                <w:rFonts w:ascii="Arial" w:hAnsi="Arial" w:eastAsia="Arial" w:cs="Arial"/>
                <w:color w:val="0D1B4B"/>
                <w:sz w:val="17"/>
                <w:szCs w:val="17"/>
              </w:rPr>
              <w:t>Short write (≤5 lines)</w:t>
            </w:r>
          </w:p>
          <w:p w14:paraId="1593D7AC">
            <w:pPr>
              <w:spacing w:after="30"/>
            </w:pPr>
            <w:r>
              <w:rPr>
                <w:rFonts w:ascii="Arial" w:hAnsi="Arial" w:eastAsia="Arial" w:cs="Arial"/>
                <w:color w:val="0D1B4B"/>
                <w:sz w:val="17"/>
                <w:szCs w:val="17"/>
              </w:rPr>
              <w:t>Flowchart design</w:t>
            </w:r>
          </w:p>
        </w:tc>
        <w:tc>
          <w:tcPr>
            <w:tcW w:w="1890" w:type="dxa"/>
            <w:tcBorders>
              <w:top w:val="single" w:color="E2E8F0" w:sz="0" w:space="0"/>
              <w:left w:val="single" w:color="E2E8F0" w:sz="0" w:space="0"/>
              <w:bottom w:val="single" w:color="E2E8F0" w:sz="0" w:space="0"/>
              <w:right w:val="single" w:color="E2E8F0" w:sz="0" w:space="0"/>
            </w:tcBorders>
            <w:shd w:val="clear" w:color="auto" w:fill="FFFFFF"/>
            <w:tcMar>
              <w:top w:w="80" w:type="dxa"/>
              <w:left w:w="110" w:type="dxa"/>
              <w:bottom w:w="80" w:type="dxa"/>
              <w:right w:w="110" w:type="dxa"/>
            </w:tcMar>
            <w:vAlign w:val="top"/>
          </w:tcPr>
          <w:p w14:paraId="2FAE2F51">
            <w:pPr>
              <w:spacing w:after="30"/>
            </w:pPr>
            <w:r>
              <w:rPr>
                <w:rFonts w:ascii="Arial" w:hAnsi="Arial" w:eastAsia="Arial" w:cs="Arial"/>
                <w:color w:val="0D1B4B"/>
                <w:sz w:val="17"/>
                <w:szCs w:val="17"/>
              </w:rPr>
              <w:t>Function build</w:t>
            </w:r>
          </w:p>
          <w:p w14:paraId="7C1B1C20">
            <w:pPr>
              <w:spacing w:after="30"/>
            </w:pPr>
            <w:r>
              <w:rPr>
                <w:rFonts w:ascii="Arial" w:hAnsi="Arial" w:eastAsia="Arial" w:cs="Arial"/>
                <w:color w:val="0D1B4B"/>
                <w:sz w:val="17"/>
                <w:szCs w:val="17"/>
              </w:rPr>
              <w:t>Debug real error</w:t>
            </w:r>
          </w:p>
          <w:p w14:paraId="72BCE280">
            <w:pPr>
              <w:spacing w:after="30"/>
            </w:pPr>
            <w:r>
              <w:rPr>
                <w:rFonts w:ascii="Arial" w:hAnsi="Arial" w:eastAsia="Arial" w:cs="Arial"/>
                <w:color w:val="0D1B4B"/>
                <w:sz w:val="17"/>
                <w:szCs w:val="17"/>
              </w:rPr>
              <w:t>Feature add / extend</w:t>
            </w:r>
          </w:p>
          <w:p w14:paraId="70D0B9CF">
            <w:pPr>
              <w:spacing w:after="30"/>
            </w:pPr>
            <w:r>
              <w:rPr>
                <w:rFonts w:ascii="Arial" w:hAnsi="Arial" w:eastAsia="Arial" w:cs="Arial"/>
                <w:color w:val="0D1B4B"/>
                <w:sz w:val="17"/>
                <w:szCs w:val="17"/>
              </w:rPr>
              <w:t>Algorithm comparison</w:t>
            </w:r>
          </w:p>
        </w:tc>
        <w:tc>
          <w:tcPr>
            <w:tcW w:w="1890" w:type="dxa"/>
            <w:tcBorders>
              <w:top w:val="single" w:color="E2E8F0" w:sz="0" w:space="0"/>
              <w:left w:val="single" w:color="E2E8F0" w:sz="0" w:space="0"/>
              <w:bottom w:val="single" w:color="E2E8F0" w:sz="0" w:space="0"/>
              <w:right w:val="single" w:color="E2E8F0" w:sz="0" w:space="0"/>
            </w:tcBorders>
            <w:shd w:val="clear" w:color="auto" w:fill="FFFFFF"/>
            <w:tcMar>
              <w:top w:w="80" w:type="dxa"/>
              <w:left w:w="110" w:type="dxa"/>
              <w:bottom w:w="80" w:type="dxa"/>
              <w:right w:w="110" w:type="dxa"/>
            </w:tcMar>
            <w:vAlign w:val="top"/>
          </w:tcPr>
          <w:p w14:paraId="534B59A2">
            <w:pPr>
              <w:spacing w:after="30"/>
            </w:pPr>
            <w:r>
              <w:rPr>
                <w:rFonts w:ascii="Arial" w:hAnsi="Arial" w:eastAsia="Arial" w:cs="Arial"/>
                <w:color w:val="0D1B4B"/>
                <w:sz w:val="17"/>
                <w:szCs w:val="17"/>
              </w:rPr>
              <w:t>System design</w:t>
            </w:r>
          </w:p>
          <w:p w14:paraId="7C426F1B">
            <w:pPr>
              <w:spacing w:after="30"/>
            </w:pPr>
            <w:r>
              <w:rPr>
                <w:rFonts w:ascii="Arial" w:hAnsi="Arial" w:eastAsia="Arial" w:cs="Arial"/>
                <w:color w:val="0D1B4B"/>
                <w:sz w:val="17"/>
                <w:szCs w:val="17"/>
              </w:rPr>
              <w:t>API integration</w:t>
            </w:r>
          </w:p>
          <w:p w14:paraId="486E810A">
            <w:pPr>
              <w:spacing w:after="30"/>
            </w:pPr>
            <w:r>
              <w:rPr>
                <w:rFonts w:ascii="Arial" w:hAnsi="Arial" w:eastAsia="Arial" w:cs="Arial"/>
                <w:color w:val="0D1B4B"/>
                <w:sz w:val="17"/>
                <w:szCs w:val="17"/>
              </w:rPr>
              <w:t>Code review</w:t>
            </w:r>
          </w:p>
          <w:p w14:paraId="3C71D206">
            <w:pPr>
              <w:spacing w:after="30"/>
            </w:pPr>
            <w:r>
              <w:rPr>
                <w:rFonts w:ascii="Arial" w:hAnsi="Arial" w:eastAsia="Arial" w:cs="Arial"/>
                <w:color w:val="0D1B4B"/>
                <w:sz w:val="17"/>
                <w:szCs w:val="17"/>
              </w:rPr>
              <w:t>Refactoring + efficiency</w:t>
            </w:r>
          </w:p>
        </w:tc>
      </w:tr>
      <w:tr w14:paraId="4F1EE62B">
        <w:tc>
          <w:tcPr>
            <w:tcW w:w="1800" w:type="dxa"/>
            <w:tcBorders>
              <w:top w:val="single" w:color="E2E8F0" w:sz="0" w:space="0"/>
              <w:left w:val="single" w:color="E2E8F0" w:sz="0" w:space="0"/>
              <w:bottom w:val="single" w:color="E2E8F0" w:sz="0" w:space="0"/>
              <w:right w:val="single" w:color="E2E8F0" w:sz="0" w:space="0"/>
            </w:tcBorders>
            <w:shd w:val="clear" w:color="auto" w:fill="1A3A5F"/>
            <w:tcMar>
              <w:top w:w="80" w:type="dxa"/>
              <w:left w:w="110" w:type="dxa"/>
              <w:bottom w:w="80" w:type="dxa"/>
              <w:right w:w="110" w:type="dxa"/>
            </w:tcMar>
            <w:vAlign w:val="center"/>
          </w:tcPr>
          <w:p w14:paraId="195952EC">
            <w:r>
              <w:rPr>
                <w:rFonts w:ascii="Arial" w:hAnsi="Arial" w:eastAsia="Arial" w:cs="Arial"/>
                <w:b/>
                <w:bCs/>
                <w:color w:val="FFFFFF"/>
                <w:sz w:val="18"/>
                <w:szCs w:val="18"/>
              </w:rPr>
              <w:t>Mini-project type</w:t>
            </w:r>
          </w:p>
        </w:tc>
        <w:tc>
          <w:tcPr>
            <w:tcW w:w="1890" w:type="dxa"/>
            <w:tcBorders>
              <w:top w:val="single" w:color="E2E8F0" w:sz="0" w:space="0"/>
              <w:left w:val="single" w:color="E2E8F0" w:sz="0" w:space="0"/>
              <w:bottom w:val="single" w:color="E2E8F0" w:sz="0" w:space="0"/>
              <w:right w:val="single" w:color="E2E8F0" w:sz="0" w:space="0"/>
            </w:tcBorders>
            <w:shd w:val="clear" w:color="auto" w:fill="F8FAFC"/>
            <w:tcMar>
              <w:top w:w="80" w:type="dxa"/>
              <w:left w:w="110" w:type="dxa"/>
              <w:bottom w:w="80" w:type="dxa"/>
              <w:right w:w="110" w:type="dxa"/>
            </w:tcMar>
            <w:vAlign w:val="top"/>
          </w:tcPr>
          <w:p w14:paraId="03ECDE9E">
            <w:pPr>
              <w:spacing w:after="30"/>
            </w:pPr>
            <w:r>
              <w:rPr>
                <w:rFonts w:ascii="Arial" w:hAnsi="Arial" w:eastAsia="Arial" w:cs="Arial"/>
                <w:color w:val="0D1B4B"/>
                <w:sz w:val="17"/>
                <w:szCs w:val="17"/>
              </w:rPr>
              <w:t>Animation / interactive
story / simple game</w:t>
            </w:r>
          </w:p>
        </w:tc>
        <w:tc>
          <w:tcPr>
            <w:tcW w:w="1890" w:type="dxa"/>
            <w:tcBorders>
              <w:top w:val="single" w:color="E2E8F0" w:sz="0" w:space="0"/>
              <w:left w:val="single" w:color="E2E8F0" w:sz="0" w:space="0"/>
              <w:bottom w:val="single" w:color="E2E8F0" w:sz="0" w:space="0"/>
              <w:right w:val="single" w:color="E2E8F0" w:sz="0" w:space="0"/>
            </w:tcBorders>
            <w:shd w:val="clear" w:color="auto" w:fill="F8FAFC"/>
            <w:tcMar>
              <w:top w:w="80" w:type="dxa"/>
              <w:left w:w="110" w:type="dxa"/>
              <w:bottom w:w="80" w:type="dxa"/>
              <w:right w:w="110" w:type="dxa"/>
            </w:tcMar>
            <w:vAlign w:val="top"/>
          </w:tcPr>
          <w:p w14:paraId="6B753B85">
            <w:pPr>
              <w:spacing w:after="30"/>
            </w:pPr>
            <w:r>
              <w:rPr>
                <w:rFonts w:ascii="Arial" w:hAnsi="Arial" w:eastAsia="Arial" w:cs="Arial"/>
                <w:color w:val="0D1B4B"/>
                <w:sz w:val="17"/>
                <w:szCs w:val="17"/>
              </w:rPr>
              <w:t>Calculator / quiz
game / simple utility</w:t>
            </w:r>
          </w:p>
        </w:tc>
        <w:tc>
          <w:tcPr>
            <w:tcW w:w="1890" w:type="dxa"/>
            <w:tcBorders>
              <w:top w:val="single" w:color="E2E8F0" w:sz="0" w:space="0"/>
              <w:left w:val="single" w:color="E2E8F0" w:sz="0" w:space="0"/>
              <w:bottom w:val="single" w:color="E2E8F0" w:sz="0" w:space="0"/>
              <w:right w:val="single" w:color="E2E8F0" w:sz="0" w:space="0"/>
            </w:tcBorders>
            <w:shd w:val="clear" w:color="auto" w:fill="F8FAFC"/>
            <w:tcMar>
              <w:top w:w="80" w:type="dxa"/>
              <w:left w:w="110" w:type="dxa"/>
              <w:bottom w:w="80" w:type="dxa"/>
              <w:right w:w="110" w:type="dxa"/>
            </w:tcMar>
            <w:vAlign w:val="top"/>
          </w:tcPr>
          <w:p w14:paraId="417FB0AF">
            <w:pPr>
              <w:spacing w:after="30"/>
            </w:pPr>
            <w:r>
              <w:rPr>
                <w:rFonts w:ascii="Arial" w:hAnsi="Arial" w:eastAsia="Arial" w:cs="Arial"/>
                <w:color w:val="0D1B4B"/>
                <w:sz w:val="17"/>
                <w:szCs w:val="17"/>
              </w:rPr>
              <w:t>Practical tool /
data analysis script /
simple web page</w:t>
            </w:r>
          </w:p>
        </w:tc>
        <w:tc>
          <w:tcPr>
            <w:tcW w:w="1890" w:type="dxa"/>
            <w:tcBorders>
              <w:top w:val="single" w:color="E2E8F0" w:sz="0" w:space="0"/>
              <w:left w:val="single" w:color="E2E8F0" w:sz="0" w:space="0"/>
              <w:bottom w:val="single" w:color="E2E8F0" w:sz="0" w:space="0"/>
              <w:right w:val="single" w:color="E2E8F0" w:sz="0" w:space="0"/>
            </w:tcBorders>
            <w:shd w:val="clear" w:color="auto" w:fill="F8FAFC"/>
            <w:tcMar>
              <w:top w:w="80" w:type="dxa"/>
              <w:left w:w="110" w:type="dxa"/>
              <w:bottom w:w="80" w:type="dxa"/>
              <w:right w:w="110" w:type="dxa"/>
            </w:tcMar>
            <w:vAlign w:val="top"/>
          </w:tcPr>
          <w:p w14:paraId="7D284C7F">
            <w:pPr>
              <w:spacing w:after="30"/>
            </w:pPr>
            <w:r>
              <w:rPr>
                <w:rFonts w:ascii="Arial" w:hAnsi="Arial" w:eastAsia="Arial" w:cs="Arial"/>
                <w:color w:val="0D1B4B"/>
                <w:sz w:val="17"/>
                <w:szCs w:val="17"/>
              </w:rPr>
              <w:t>Full web app /
REST API /
ML model integration</w:t>
            </w:r>
          </w:p>
        </w:tc>
      </w:tr>
      <w:tr w14:paraId="0ADC2E57">
        <w:tc>
          <w:tcPr>
            <w:tcW w:w="1800" w:type="dxa"/>
            <w:tcBorders>
              <w:top w:val="single" w:color="E2E8F0" w:sz="0" w:space="0"/>
              <w:left w:val="single" w:color="E2E8F0" w:sz="0" w:space="0"/>
              <w:bottom w:val="single" w:color="E2E8F0" w:sz="0" w:space="0"/>
              <w:right w:val="single" w:color="E2E8F0" w:sz="0" w:space="0"/>
            </w:tcBorders>
            <w:shd w:val="clear" w:color="auto" w:fill="1A3A5F"/>
            <w:tcMar>
              <w:top w:w="80" w:type="dxa"/>
              <w:left w:w="110" w:type="dxa"/>
              <w:bottom w:w="80" w:type="dxa"/>
              <w:right w:w="110" w:type="dxa"/>
            </w:tcMar>
            <w:vAlign w:val="center"/>
          </w:tcPr>
          <w:p w14:paraId="6964F457">
            <w:r>
              <w:rPr>
                <w:rFonts w:ascii="Arial" w:hAnsi="Arial" w:eastAsia="Arial" w:cs="Arial"/>
                <w:b/>
                <w:bCs/>
                <w:color w:val="FFFFFF"/>
                <w:sz w:val="18"/>
                <w:szCs w:val="18"/>
              </w:rPr>
              <w:t>Max session
length (mins)</w:t>
            </w:r>
          </w:p>
        </w:tc>
        <w:tc>
          <w:tcPr>
            <w:tcW w:w="1890" w:type="dxa"/>
            <w:tcBorders>
              <w:top w:val="single" w:color="E2E8F0" w:sz="0" w:space="0"/>
              <w:left w:val="single" w:color="E2E8F0" w:sz="0" w:space="0"/>
              <w:bottom w:val="single" w:color="E2E8F0" w:sz="0" w:space="0"/>
              <w:right w:val="single" w:color="E2E8F0" w:sz="0" w:space="0"/>
            </w:tcBorders>
            <w:shd w:val="clear" w:color="auto" w:fill="FFFFFF"/>
            <w:tcMar>
              <w:top w:w="80" w:type="dxa"/>
              <w:left w:w="110" w:type="dxa"/>
              <w:bottom w:w="80" w:type="dxa"/>
              <w:right w:w="110" w:type="dxa"/>
            </w:tcMar>
            <w:vAlign w:val="top"/>
          </w:tcPr>
          <w:p w14:paraId="7B012E7E">
            <w:pPr>
              <w:spacing w:after="30"/>
            </w:pPr>
            <w:r>
              <w:rPr>
                <w:rFonts w:ascii="Arial" w:hAnsi="Arial" w:eastAsia="Arial" w:cs="Arial"/>
                <w:color w:val="0D1B4B"/>
                <w:sz w:val="17"/>
                <w:szCs w:val="17"/>
              </w:rPr>
              <w:t>10–20 min
(hard limit)</w:t>
            </w:r>
          </w:p>
        </w:tc>
        <w:tc>
          <w:tcPr>
            <w:tcW w:w="1890" w:type="dxa"/>
            <w:tcBorders>
              <w:top w:val="single" w:color="E2E8F0" w:sz="0" w:space="0"/>
              <w:left w:val="single" w:color="E2E8F0" w:sz="0" w:space="0"/>
              <w:bottom w:val="single" w:color="E2E8F0" w:sz="0" w:space="0"/>
              <w:right w:val="single" w:color="E2E8F0" w:sz="0" w:space="0"/>
            </w:tcBorders>
            <w:shd w:val="clear" w:color="auto" w:fill="FFFFFF"/>
            <w:tcMar>
              <w:top w:w="80" w:type="dxa"/>
              <w:left w:w="110" w:type="dxa"/>
              <w:bottom w:w="80" w:type="dxa"/>
              <w:right w:w="110" w:type="dxa"/>
            </w:tcMar>
            <w:vAlign w:val="top"/>
          </w:tcPr>
          <w:p w14:paraId="140F1EBB">
            <w:pPr>
              <w:spacing w:after="30"/>
            </w:pPr>
            <w:r>
              <w:rPr>
                <w:rFonts w:ascii="Arial" w:hAnsi="Arial" w:eastAsia="Arial" w:cs="Arial"/>
                <w:color w:val="0D1B4B"/>
                <w:sz w:val="17"/>
                <w:szCs w:val="17"/>
              </w:rPr>
              <w:t>20–35 min</w:t>
            </w:r>
          </w:p>
        </w:tc>
        <w:tc>
          <w:tcPr>
            <w:tcW w:w="1890" w:type="dxa"/>
            <w:tcBorders>
              <w:top w:val="single" w:color="E2E8F0" w:sz="0" w:space="0"/>
              <w:left w:val="single" w:color="E2E8F0" w:sz="0" w:space="0"/>
              <w:bottom w:val="single" w:color="E2E8F0" w:sz="0" w:space="0"/>
              <w:right w:val="single" w:color="E2E8F0" w:sz="0" w:space="0"/>
            </w:tcBorders>
            <w:shd w:val="clear" w:color="auto" w:fill="FFFFFF"/>
            <w:tcMar>
              <w:top w:w="80" w:type="dxa"/>
              <w:left w:w="110" w:type="dxa"/>
              <w:bottom w:w="80" w:type="dxa"/>
              <w:right w:w="110" w:type="dxa"/>
            </w:tcMar>
            <w:vAlign w:val="top"/>
          </w:tcPr>
          <w:p w14:paraId="3382B99F">
            <w:pPr>
              <w:spacing w:after="30"/>
            </w:pPr>
            <w:r>
              <w:rPr>
                <w:rFonts w:ascii="Arial" w:hAnsi="Arial" w:eastAsia="Arial" w:cs="Arial"/>
                <w:color w:val="0D1B4B"/>
                <w:sz w:val="17"/>
                <w:szCs w:val="17"/>
              </w:rPr>
              <w:t>45–60 min</w:t>
            </w:r>
          </w:p>
        </w:tc>
        <w:tc>
          <w:tcPr>
            <w:tcW w:w="1890" w:type="dxa"/>
            <w:tcBorders>
              <w:top w:val="single" w:color="E2E8F0" w:sz="0" w:space="0"/>
              <w:left w:val="single" w:color="E2E8F0" w:sz="0" w:space="0"/>
              <w:bottom w:val="single" w:color="E2E8F0" w:sz="0" w:space="0"/>
              <w:right w:val="single" w:color="E2E8F0" w:sz="0" w:space="0"/>
            </w:tcBorders>
            <w:shd w:val="clear" w:color="auto" w:fill="FFFFFF"/>
            <w:tcMar>
              <w:top w:w="80" w:type="dxa"/>
              <w:left w:w="110" w:type="dxa"/>
              <w:bottom w:w="80" w:type="dxa"/>
              <w:right w:w="110" w:type="dxa"/>
            </w:tcMar>
            <w:vAlign w:val="top"/>
          </w:tcPr>
          <w:p w14:paraId="3DAF4A41">
            <w:pPr>
              <w:spacing w:after="30"/>
            </w:pPr>
            <w:r>
              <w:rPr>
                <w:rFonts w:ascii="Arial" w:hAnsi="Arial" w:eastAsia="Arial" w:cs="Arial"/>
                <w:color w:val="0D1B4B"/>
                <w:sz w:val="17"/>
                <w:szCs w:val="17"/>
              </w:rPr>
              <w:t>60–90 min</w:t>
            </w:r>
          </w:p>
        </w:tc>
      </w:tr>
      <w:tr w14:paraId="1DC529F7">
        <w:tc>
          <w:tcPr>
            <w:tcW w:w="1800" w:type="dxa"/>
            <w:tcBorders>
              <w:top w:val="single" w:color="E2E8F0" w:sz="0" w:space="0"/>
              <w:left w:val="single" w:color="E2E8F0" w:sz="0" w:space="0"/>
              <w:bottom w:val="single" w:color="E2E8F0" w:sz="0" w:space="0"/>
              <w:right w:val="single" w:color="E2E8F0" w:sz="0" w:space="0"/>
            </w:tcBorders>
            <w:shd w:val="clear" w:color="auto" w:fill="1A3A5F"/>
            <w:tcMar>
              <w:top w:w="80" w:type="dxa"/>
              <w:left w:w="110" w:type="dxa"/>
              <w:bottom w:w="80" w:type="dxa"/>
              <w:right w:w="110" w:type="dxa"/>
            </w:tcMar>
            <w:vAlign w:val="center"/>
          </w:tcPr>
          <w:p w14:paraId="17EDE61C">
            <w:r>
              <w:rPr>
                <w:rFonts w:ascii="Arial" w:hAnsi="Arial" w:eastAsia="Arial" w:cs="Arial"/>
                <w:b/>
                <w:bCs/>
                <w:color w:val="FFFFFF"/>
                <w:sz w:val="18"/>
                <w:szCs w:val="18"/>
              </w:rPr>
              <w:t>Tester mode</w:t>
            </w:r>
          </w:p>
        </w:tc>
        <w:tc>
          <w:tcPr>
            <w:tcW w:w="1890" w:type="dxa"/>
            <w:tcBorders>
              <w:top w:val="single" w:color="E2E8F0" w:sz="0" w:space="0"/>
              <w:left w:val="single" w:color="E2E8F0" w:sz="0" w:space="0"/>
              <w:bottom w:val="single" w:color="E2E8F0" w:sz="0" w:space="0"/>
              <w:right w:val="single" w:color="E2E8F0" w:sz="0" w:space="0"/>
            </w:tcBorders>
            <w:shd w:val="clear" w:color="auto" w:fill="F8FAFC"/>
            <w:tcMar>
              <w:top w:w="80" w:type="dxa"/>
              <w:left w:w="110" w:type="dxa"/>
              <w:bottom w:w="80" w:type="dxa"/>
              <w:right w:w="110" w:type="dxa"/>
            </w:tcMar>
            <w:vAlign w:val="top"/>
          </w:tcPr>
          <w:p w14:paraId="7BE6DEDF">
            <w:pPr>
              <w:spacing w:after="30"/>
            </w:pPr>
            <w:r>
              <w:rPr>
                <w:rFonts w:ascii="Arial" w:hAnsi="Arial" w:eastAsia="Arial" w:cs="Arial"/>
                <w:color w:val="0D1B4B"/>
                <w:sz w:val="17"/>
                <w:szCs w:val="17"/>
              </w:rPr>
              <w:t>Logic consistency
check only
(no code execution)</w:t>
            </w:r>
          </w:p>
        </w:tc>
        <w:tc>
          <w:tcPr>
            <w:tcW w:w="1890" w:type="dxa"/>
            <w:tcBorders>
              <w:top w:val="single" w:color="E2E8F0" w:sz="0" w:space="0"/>
              <w:left w:val="single" w:color="E2E8F0" w:sz="0" w:space="0"/>
              <w:bottom w:val="single" w:color="E2E8F0" w:sz="0" w:space="0"/>
              <w:right w:val="single" w:color="E2E8F0" w:sz="0" w:space="0"/>
            </w:tcBorders>
            <w:shd w:val="clear" w:color="auto" w:fill="F8FAFC"/>
            <w:tcMar>
              <w:top w:w="80" w:type="dxa"/>
              <w:left w:w="110" w:type="dxa"/>
              <w:bottom w:w="80" w:type="dxa"/>
              <w:right w:w="110" w:type="dxa"/>
            </w:tcMar>
            <w:vAlign w:val="top"/>
          </w:tcPr>
          <w:p w14:paraId="7959F997">
            <w:pPr>
              <w:spacing w:after="30"/>
            </w:pPr>
            <w:r>
              <w:rPr>
                <w:rFonts w:ascii="Arial" w:hAnsi="Arial" w:eastAsia="Arial" w:cs="Arial"/>
                <w:color w:val="0D1B4B"/>
                <w:sz w:val="17"/>
                <w:szCs w:val="17"/>
              </w:rPr>
              <w:t>Logic check +
simple code execution
for basic syntax</w:t>
            </w:r>
          </w:p>
        </w:tc>
        <w:tc>
          <w:tcPr>
            <w:tcW w:w="1890" w:type="dxa"/>
            <w:tcBorders>
              <w:top w:val="single" w:color="E2E8F0" w:sz="0" w:space="0"/>
              <w:left w:val="single" w:color="E2E8F0" w:sz="0" w:space="0"/>
              <w:bottom w:val="single" w:color="E2E8F0" w:sz="0" w:space="0"/>
              <w:right w:val="single" w:color="E2E8F0" w:sz="0" w:space="0"/>
            </w:tcBorders>
            <w:shd w:val="clear" w:color="auto" w:fill="F8FAFC"/>
            <w:tcMar>
              <w:top w:w="80" w:type="dxa"/>
              <w:left w:w="110" w:type="dxa"/>
              <w:bottom w:w="80" w:type="dxa"/>
              <w:right w:w="110" w:type="dxa"/>
            </w:tcMar>
            <w:vAlign w:val="top"/>
          </w:tcPr>
          <w:p w14:paraId="2857B0DF">
            <w:pPr>
              <w:spacing w:after="30"/>
            </w:pPr>
            <w:r>
              <w:rPr>
                <w:rFonts w:ascii="Arial" w:hAnsi="Arial" w:eastAsia="Arial" w:cs="Arial"/>
                <w:color w:val="0D1B4B"/>
                <w:sz w:val="17"/>
                <w:szCs w:val="17"/>
              </w:rPr>
              <w:t>Full sandbox
execution
(E2B / Judge0)</w:t>
            </w:r>
          </w:p>
        </w:tc>
        <w:tc>
          <w:tcPr>
            <w:tcW w:w="1890" w:type="dxa"/>
            <w:tcBorders>
              <w:top w:val="single" w:color="E2E8F0" w:sz="0" w:space="0"/>
              <w:left w:val="single" w:color="E2E8F0" w:sz="0" w:space="0"/>
              <w:bottom w:val="single" w:color="E2E8F0" w:sz="0" w:space="0"/>
              <w:right w:val="single" w:color="E2E8F0" w:sz="0" w:space="0"/>
            </w:tcBorders>
            <w:shd w:val="clear" w:color="auto" w:fill="F8FAFC"/>
            <w:tcMar>
              <w:top w:w="80" w:type="dxa"/>
              <w:left w:w="110" w:type="dxa"/>
              <w:bottom w:w="80" w:type="dxa"/>
              <w:right w:w="110" w:type="dxa"/>
            </w:tcMar>
            <w:vAlign w:val="top"/>
          </w:tcPr>
          <w:p w14:paraId="55D79E1D">
            <w:pPr>
              <w:spacing w:after="30"/>
            </w:pPr>
            <w:r>
              <w:rPr>
                <w:rFonts w:ascii="Arial" w:hAnsi="Arial" w:eastAsia="Arial" w:cs="Arial"/>
                <w:color w:val="0D1B4B"/>
                <w:sz w:val="17"/>
                <w:szCs w:val="17"/>
              </w:rPr>
              <w:t>Full sandbox +
test suite pass/fail</w:t>
            </w:r>
          </w:p>
        </w:tc>
      </w:tr>
      <w:tr w14:paraId="0E0C1D71">
        <w:tc>
          <w:tcPr>
            <w:tcW w:w="1800" w:type="dxa"/>
            <w:tcBorders>
              <w:top w:val="single" w:color="E2E8F0" w:sz="0" w:space="0"/>
              <w:left w:val="single" w:color="E2E8F0" w:sz="0" w:space="0"/>
              <w:bottom w:val="single" w:color="E2E8F0" w:sz="0" w:space="0"/>
              <w:right w:val="single" w:color="E2E8F0" w:sz="0" w:space="0"/>
            </w:tcBorders>
            <w:shd w:val="clear" w:color="auto" w:fill="1A3A5F"/>
            <w:tcMar>
              <w:top w:w="80" w:type="dxa"/>
              <w:left w:w="110" w:type="dxa"/>
              <w:bottom w:w="80" w:type="dxa"/>
              <w:right w:w="110" w:type="dxa"/>
            </w:tcMar>
            <w:vAlign w:val="center"/>
          </w:tcPr>
          <w:p w14:paraId="28A7ED6D">
            <w:r>
              <w:rPr>
                <w:rFonts w:ascii="Arial" w:hAnsi="Arial" w:eastAsia="Arial" w:cs="Arial"/>
                <w:b/>
                <w:bCs/>
                <w:color w:val="FFFFFF"/>
                <w:sz w:val="18"/>
                <w:szCs w:val="18"/>
              </w:rPr>
              <w:t>Tutor guide
style</w:t>
            </w:r>
          </w:p>
        </w:tc>
        <w:tc>
          <w:tcPr>
            <w:tcW w:w="1890" w:type="dxa"/>
            <w:tcBorders>
              <w:top w:val="single" w:color="E2E8F0" w:sz="0" w:space="0"/>
              <w:left w:val="single" w:color="E2E8F0" w:sz="0" w:space="0"/>
              <w:bottom w:val="single" w:color="E2E8F0" w:sz="0" w:space="0"/>
              <w:right w:val="single" w:color="E2E8F0" w:sz="0" w:space="0"/>
            </w:tcBorders>
            <w:shd w:val="clear" w:color="auto" w:fill="FFFFFF"/>
            <w:tcMar>
              <w:top w:w="80" w:type="dxa"/>
              <w:left w:w="110" w:type="dxa"/>
              <w:bottom w:w="80" w:type="dxa"/>
              <w:right w:w="110" w:type="dxa"/>
            </w:tcMar>
            <w:vAlign w:val="top"/>
          </w:tcPr>
          <w:p w14:paraId="6B417291">
            <w:pPr>
              <w:spacing w:after="30"/>
            </w:pPr>
            <w:r>
              <w:rPr>
                <w:rFonts w:ascii="Arial" w:hAnsi="Arial" w:eastAsia="Arial" w:cs="Arial"/>
                <w:color w:val="0D1B4B"/>
                <w:sz w:val="17"/>
                <w:szCs w:val="17"/>
              </w:rPr>
              <w:t>Physical analogy script
("clap 3 times"
= repeat 3x)</w:t>
            </w:r>
          </w:p>
        </w:tc>
        <w:tc>
          <w:tcPr>
            <w:tcW w:w="1890" w:type="dxa"/>
            <w:tcBorders>
              <w:top w:val="single" w:color="E2E8F0" w:sz="0" w:space="0"/>
              <w:left w:val="single" w:color="E2E8F0" w:sz="0" w:space="0"/>
              <w:bottom w:val="single" w:color="E2E8F0" w:sz="0" w:space="0"/>
              <w:right w:val="single" w:color="E2E8F0" w:sz="0" w:space="0"/>
            </w:tcBorders>
            <w:shd w:val="clear" w:color="auto" w:fill="FFFFFF"/>
            <w:tcMar>
              <w:top w:w="80" w:type="dxa"/>
              <w:left w:w="110" w:type="dxa"/>
              <w:bottom w:w="80" w:type="dxa"/>
              <w:right w:w="110" w:type="dxa"/>
            </w:tcMar>
            <w:vAlign w:val="top"/>
          </w:tcPr>
          <w:p w14:paraId="159252DC">
            <w:pPr>
              <w:spacing w:after="30"/>
            </w:pPr>
            <w:r>
              <w:rPr>
                <w:rFonts w:ascii="Arial" w:hAnsi="Arial" w:eastAsia="Arial" w:cs="Arial"/>
                <w:color w:val="0D1B4B"/>
                <w:sz w:val="17"/>
                <w:szCs w:val="17"/>
              </w:rPr>
              <w:t>Scaffolded hint
sequence
(ZPD-aligned prompts)</w:t>
            </w:r>
          </w:p>
        </w:tc>
        <w:tc>
          <w:tcPr>
            <w:tcW w:w="1890" w:type="dxa"/>
            <w:tcBorders>
              <w:top w:val="single" w:color="E2E8F0" w:sz="0" w:space="0"/>
              <w:left w:val="single" w:color="E2E8F0" w:sz="0" w:space="0"/>
              <w:bottom w:val="single" w:color="E2E8F0" w:sz="0" w:space="0"/>
              <w:right w:val="single" w:color="E2E8F0" w:sz="0" w:space="0"/>
            </w:tcBorders>
            <w:shd w:val="clear" w:color="auto" w:fill="FFFFFF"/>
            <w:tcMar>
              <w:top w:w="80" w:type="dxa"/>
              <w:left w:w="110" w:type="dxa"/>
              <w:bottom w:w="80" w:type="dxa"/>
              <w:right w:w="110" w:type="dxa"/>
            </w:tcMar>
            <w:vAlign w:val="top"/>
          </w:tcPr>
          <w:p w14:paraId="59D6939E">
            <w:pPr>
              <w:spacing w:after="30"/>
            </w:pPr>
            <w:r>
              <w:rPr>
                <w:rFonts w:ascii="Arial" w:hAnsi="Arial" w:eastAsia="Arial" w:cs="Arial"/>
                <w:color w:val="0D1B4B"/>
                <w:sz w:val="17"/>
                <w:szCs w:val="17"/>
              </w:rPr>
              <w:t>Socratic
question chain
(never give answers)</w:t>
            </w:r>
          </w:p>
        </w:tc>
        <w:tc>
          <w:tcPr>
            <w:tcW w:w="1890" w:type="dxa"/>
            <w:tcBorders>
              <w:top w:val="single" w:color="E2E8F0" w:sz="0" w:space="0"/>
              <w:left w:val="single" w:color="E2E8F0" w:sz="0" w:space="0"/>
              <w:bottom w:val="single" w:color="E2E8F0" w:sz="0" w:space="0"/>
              <w:right w:val="single" w:color="E2E8F0" w:sz="0" w:space="0"/>
            </w:tcBorders>
            <w:shd w:val="clear" w:color="auto" w:fill="FFFFFF"/>
            <w:tcMar>
              <w:top w:w="80" w:type="dxa"/>
              <w:left w:w="110" w:type="dxa"/>
              <w:bottom w:w="80" w:type="dxa"/>
              <w:right w:w="110" w:type="dxa"/>
            </w:tcMar>
            <w:vAlign w:val="top"/>
          </w:tcPr>
          <w:p w14:paraId="741F84F6">
            <w:pPr>
              <w:spacing w:after="30"/>
            </w:pPr>
            <w:r>
              <w:rPr>
                <w:rFonts w:ascii="Arial" w:hAnsi="Arial" w:eastAsia="Arial" w:cs="Arial"/>
                <w:color w:val="0D1B4B"/>
                <w:sz w:val="17"/>
                <w:szCs w:val="17"/>
              </w:rPr>
              <w:t>Peer-review checklist
+ engineering standards
feedback</w:t>
            </w:r>
          </w:p>
        </w:tc>
      </w:tr>
      <w:tr w14:paraId="5554C17C">
        <w:tc>
          <w:tcPr>
            <w:tcW w:w="1800" w:type="dxa"/>
            <w:tcBorders>
              <w:top w:val="single" w:color="E2E8F0" w:sz="0" w:space="0"/>
              <w:left w:val="single" w:color="E2E8F0" w:sz="0" w:space="0"/>
              <w:bottom w:val="single" w:color="E2E8F0" w:sz="0" w:space="0"/>
              <w:right w:val="single" w:color="E2E8F0" w:sz="0" w:space="0"/>
            </w:tcBorders>
            <w:shd w:val="clear" w:color="auto" w:fill="1A3A5F"/>
            <w:tcMar>
              <w:top w:w="80" w:type="dxa"/>
              <w:left w:w="110" w:type="dxa"/>
              <w:bottom w:w="80" w:type="dxa"/>
              <w:right w:w="110" w:type="dxa"/>
            </w:tcMar>
            <w:vAlign w:val="center"/>
          </w:tcPr>
          <w:p w14:paraId="53383B86">
            <w:r>
              <w:rPr>
                <w:rFonts w:ascii="Arial" w:hAnsi="Arial" w:eastAsia="Arial" w:cs="Arial"/>
                <w:b/>
                <w:bCs/>
                <w:color w:val="FFFFFF"/>
                <w:sz w:val="18"/>
                <w:szCs w:val="18"/>
              </w:rPr>
              <w:t>Feedback &amp;
reinforcement</w:t>
            </w:r>
          </w:p>
        </w:tc>
        <w:tc>
          <w:tcPr>
            <w:tcW w:w="1890" w:type="dxa"/>
            <w:tcBorders>
              <w:top w:val="single" w:color="E2E8F0" w:sz="0" w:space="0"/>
              <w:left w:val="single" w:color="E2E8F0" w:sz="0" w:space="0"/>
              <w:bottom w:val="single" w:color="E2E8F0" w:sz="0" w:space="0"/>
              <w:right w:val="single" w:color="E2E8F0" w:sz="0" w:space="0"/>
            </w:tcBorders>
            <w:shd w:val="clear" w:color="auto" w:fill="F8FAFC"/>
            <w:tcMar>
              <w:top w:w="80" w:type="dxa"/>
              <w:left w:w="110" w:type="dxa"/>
              <w:bottom w:w="80" w:type="dxa"/>
              <w:right w:w="110" w:type="dxa"/>
            </w:tcMar>
            <w:vAlign w:val="top"/>
          </w:tcPr>
          <w:p w14:paraId="260E5608">
            <w:pPr>
              <w:spacing w:after="30"/>
            </w:pPr>
            <w:r>
              <w:rPr>
                <w:rFonts w:ascii="Arial" w:hAnsi="Arial" w:eastAsia="Arial" w:cs="Arial"/>
                <w:color w:val="0D1B4B"/>
                <w:sz w:val="17"/>
                <w:szCs w:val="17"/>
              </w:rPr>
              <w:t>Immediate visual
feedback mandatory
(animation plays / stops)</w:t>
            </w:r>
          </w:p>
        </w:tc>
        <w:tc>
          <w:tcPr>
            <w:tcW w:w="1890" w:type="dxa"/>
            <w:tcBorders>
              <w:top w:val="single" w:color="E2E8F0" w:sz="0" w:space="0"/>
              <w:left w:val="single" w:color="E2E8F0" w:sz="0" w:space="0"/>
              <w:bottom w:val="single" w:color="E2E8F0" w:sz="0" w:space="0"/>
              <w:right w:val="single" w:color="E2E8F0" w:sz="0" w:space="0"/>
            </w:tcBorders>
            <w:shd w:val="clear" w:color="auto" w:fill="F8FAFC"/>
            <w:tcMar>
              <w:top w:w="80" w:type="dxa"/>
              <w:left w:w="110" w:type="dxa"/>
              <w:bottom w:w="80" w:type="dxa"/>
              <w:right w:w="110" w:type="dxa"/>
            </w:tcMar>
            <w:vAlign w:val="top"/>
          </w:tcPr>
          <w:p w14:paraId="250457DF">
            <w:pPr>
              <w:spacing w:after="30"/>
            </w:pPr>
            <w:r>
              <w:rPr>
                <w:rFonts w:ascii="Arial" w:hAnsi="Arial" w:eastAsia="Arial" w:cs="Arial"/>
                <w:color w:val="0D1B4B"/>
                <w:sz w:val="17"/>
                <w:szCs w:val="17"/>
              </w:rPr>
              <w:t>Immediate + delayed:
correct run + explain why</w:t>
            </w:r>
          </w:p>
        </w:tc>
        <w:tc>
          <w:tcPr>
            <w:tcW w:w="1890" w:type="dxa"/>
            <w:tcBorders>
              <w:top w:val="single" w:color="E2E8F0" w:sz="0" w:space="0"/>
              <w:left w:val="single" w:color="E2E8F0" w:sz="0" w:space="0"/>
              <w:bottom w:val="single" w:color="E2E8F0" w:sz="0" w:space="0"/>
              <w:right w:val="single" w:color="E2E8F0" w:sz="0" w:space="0"/>
            </w:tcBorders>
            <w:shd w:val="clear" w:color="auto" w:fill="F8FAFC"/>
            <w:tcMar>
              <w:top w:w="80" w:type="dxa"/>
              <w:left w:w="110" w:type="dxa"/>
              <w:bottom w:w="80" w:type="dxa"/>
              <w:right w:w="110" w:type="dxa"/>
            </w:tcMar>
            <w:vAlign w:val="top"/>
          </w:tcPr>
          <w:p w14:paraId="6F8FBA40">
            <w:pPr>
              <w:spacing w:after="30"/>
            </w:pPr>
            <w:r>
              <w:rPr>
                <w:rFonts w:ascii="Arial" w:hAnsi="Arial" w:eastAsia="Arial" w:cs="Arial"/>
                <w:color w:val="0D1B4B"/>
                <w:sz w:val="17"/>
                <w:szCs w:val="17"/>
              </w:rPr>
              <w:t>Delayed + reflective:
test results + edge cases</w:t>
            </w:r>
          </w:p>
        </w:tc>
        <w:tc>
          <w:tcPr>
            <w:tcW w:w="1890" w:type="dxa"/>
            <w:tcBorders>
              <w:top w:val="single" w:color="E2E8F0" w:sz="0" w:space="0"/>
              <w:left w:val="single" w:color="E2E8F0" w:sz="0" w:space="0"/>
              <w:bottom w:val="single" w:color="E2E8F0" w:sz="0" w:space="0"/>
              <w:right w:val="single" w:color="E2E8F0" w:sz="0" w:space="0"/>
            </w:tcBorders>
            <w:shd w:val="clear" w:color="auto" w:fill="F8FAFC"/>
            <w:tcMar>
              <w:top w:w="80" w:type="dxa"/>
              <w:left w:w="110" w:type="dxa"/>
              <w:bottom w:w="80" w:type="dxa"/>
              <w:right w:w="110" w:type="dxa"/>
            </w:tcMar>
            <w:vAlign w:val="top"/>
          </w:tcPr>
          <w:p w14:paraId="2D8AAC5B">
            <w:pPr>
              <w:spacing w:after="30"/>
            </w:pPr>
            <w:r>
              <w:rPr>
                <w:rFonts w:ascii="Arial" w:hAnsi="Arial" w:eastAsia="Arial" w:cs="Arial"/>
                <w:color w:val="0D1B4B"/>
                <w:sz w:val="17"/>
                <w:szCs w:val="17"/>
              </w:rPr>
              <w:t>Peer review + self-
assessment + real-world
deployment outcome</w:t>
            </w:r>
          </w:p>
        </w:tc>
      </w:tr>
      <w:tr w14:paraId="0F5F0951">
        <w:tc>
          <w:tcPr>
            <w:tcW w:w="1800" w:type="dxa"/>
            <w:tcBorders>
              <w:top w:val="single" w:color="E2E8F0" w:sz="0" w:space="0"/>
              <w:left w:val="single" w:color="E2E8F0" w:sz="0" w:space="0"/>
              <w:bottom w:val="single" w:color="E2E8F0" w:sz="0" w:space="0"/>
              <w:right w:val="single" w:color="E2E8F0" w:sz="0" w:space="0"/>
            </w:tcBorders>
            <w:shd w:val="clear" w:color="auto" w:fill="1A3A5F"/>
            <w:tcMar>
              <w:top w:w="80" w:type="dxa"/>
              <w:left w:w="110" w:type="dxa"/>
              <w:bottom w:w="80" w:type="dxa"/>
              <w:right w:w="110" w:type="dxa"/>
            </w:tcMar>
            <w:vAlign w:val="center"/>
          </w:tcPr>
          <w:p w14:paraId="5EBCBCF4">
            <w:r>
              <w:rPr>
                <w:rFonts w:ascii="Arial" w:hAnsi="Arial" w:eastAsia="Arial" w:cs="Arial"/>
                <w:b/>
                <w:bCs/>
                <w:color w:val="FFFFFF"/>
                <w:sz w:val="18"/>
                <w:szCs w:val="18"/>
              </w:rPr>
              <w:t>Primary tools /
platforms</w:t>
            </w:r>
          </w:p>
        </w:tc>
        <w:tc>
          <w:tcPr>
            <w:tcW w:w="1890" w:type="dxa"/>
            <w:tcBorders>
              <w:top w:val="single" w:color="E2E8F0" w:sz="0" w:space="0"/>
              <w:left w:val="single" w:color="E2E8F0" w:sz="0" w:space="0"/>
              <w:bottom w:val="single" w:color="E2E8F0" w:sz="0" w:space="0"/>
              <w:right w:val="single" w:color="E2E8F0" w:sz="0" w:space="0"/>
            </w:tcBorders>
            <w:shd w:val="clear" w:color="auto" w:fill="FFFFFF"/>
            <w:tcMar>
              <w:top w:w="80" w:type="dxa"/>
              <w:left w:w="110" w:type="dxa"/>
              <w:bottom w:w="80" w:type="dxa"/>
              <w:right w:w="110" w:type="dxa"/>
            </w:tcMar>
            <w:vAlign w:val="top"/>
          </w:tcPr>
          <w:p w14:paraId="1A04E681">
            <w:pPr>
              <w:spacing w:after="30"/>
            </w:pPr>
            <w:r>
              <w:rPr>
                <w:rFonts w:ascii="Arial" w:hAnsi="Arial" w:eastAsia="Arial" w:cs="Arial"/>
                <w:color w:val="0D1B4B"/>
                <w:sz w:val="17"/>
                <w:szCs w:val="17"/>
              </w:rPr>
              <w:t>ScratchJr, Blockly,
Code.org K–5</w:t>
            </w:r>
          </w:p>
        </w:tc>
        <w:tc>
          <w:tcPr>
            <w:tcW w:w="1890" w:type="dxa"/>
            <w:tcBorders>
              <w:top w:val="single" w:color="E2E8F0" w:sz="0" w:space="0"/>
              <w:left w:val="single" w:color="E2E8F0" w:sz="0" w:space="0"/>
              <w:bottom w:val="single" w:color="E2E8F0" w:sz="0" w:space="0"/>
              <w:right w:val="single" w:color="E2E8F0" w:sz="0" w:space="0"/>
            </w:tcBorders>
            <w:shd w:val="clear" w:color="auto" w:fill="FFFFFF"/>
            <w:tcMar>
              <w:top w:w="80" w:type="dxa"/>
              <w:left w:w="110" w:type="dxa"/>
              <w:bottom w:w="80" w:type="dxa"/>
              <w:right w:w="110" w:type="dxa"/>
            </w:tcMar>
            <w:vAlign w:val="top"/>
          </w:tcPr>
          <w:p w14:paraId="0230D022">
            <w:pPr>
              <w:spacing w:after="30"/>
            </w:pPr>
            <w:r>
              <w:rPr>
                <w:rFonts w:ascii="Arial" w:hAnsi="Arial" w:eastAsia="Arial" w:cs="Arial"/>
                <w:color w:val="0D1B4B"/>
                <w:sz w:val="17"/>
                <w:szCs w:val="17"/>
              </w:rPr>
              <w:t>Scratch, Blockly→Python,
Code.org Gr 3–10</w:t>
            </w:r>
          </w:p>
        </w:tc>
        <w:tc>
          <w:tcPr>
            <w:tcW w:w="1890" w:type="dxa"/>
            <w:tcBorders>
              <w:top w:val="single" w:color="E2E8F0" w:sz="0" w:space="0"/>
              <w:left w:val="single" w:color="E2E8F0" w:sz="0" w:space="0"/>
              <w:bottom w:val="single" w:color="E2E8F0" w:sz="0" w:space="0"/>
              <w:right w:val="single" w:color="E2E8F0" w:sz="0" w:space="0"/>
            </w:tcBorders>
            <w:shd w:val="clear" w:color="auto" w:fill="FFFFFF"/>
            <w:tcMar>
              <w:top w:w="80" w:type="dxa"/>
              <w:left w:w="110" w:type="dxa"/>
              <w:bottom w:w="80" w:type="dxa"/>
              <w:right w:w="110" w:type="dxa"/>
            </w:tcMar>
            <w:vAlign w:val="top"/>
          </w:tcPr>
          <w:p w14:paraId="7783B569">
            <w:pPr>
              <w:spacing w:after="30"/>
            </w:pPr>
            <w:r>
              <w:rPr>
                <w:rFonts w:ascii="Arial" w:hAnsi="Arial" w:eastAsia="Arial" w:cs="Arial"/>
                <w:color w:val="0D1B4B"/>
                <w:sz w:val="17"/>
                <w:szCs w:val="17"/>
              </w:rPr>
              <w:t>Python + Replit /
VS Code / PyCharm</w:t>
            </w:r>
          </w:p>
        </w:tc>
        <w:tc>
          <w:tcPr>
            <w:tcW w:w="1890" w:type="dxa"/>
            <w:tcBorders>
              <w:top w:val="single" w:color="E2E8F0" w:sz="0" w:space="0"/>
              <w:left w:val="single" w:color="E2E8F0" w:sz="0" w:space="0"/>
              <w:bottom w:val="single" w:color="E2E8F0" w:sz="0" w:space="0"/>
              <w:right w:val="single" w:color="E2E8F0" w:sz="0" w:space="0"/>
            </w:tcBorders>
            <w:shd w:val="clear" w:color="auto" w:fill="FFFFFF"/>
            <w:tcMar>
              <w:top w:w="80" w:type="dxa"/>
              <w:left w:w="110" w:type="dxa"/>
              <w:bottom w:w="80" w:type="dxa"/>
              <w:right w:w="110" w:type="dxa"/>
            </w:tcMar>
            <w:vAlign w:val="top"/>
          </w:tcPr>
          <w:p w14:paraId="236AF065">
            <w:pPr>
              <w:spacing w:after="30"/>
            </w:pPr>
            <w:r>
              <w:rPr>
                <w:rFonts w:ascii="Arial" w:hAnsi="Arial" w:eastAsia="Arial" w:cs="Arial"/>
                <w:color w:val="0D1B4B"/>
                <w:sz w:val="17"/>
                <w:szCs w:val="17"/>
              </w:rPr>
              <w:t>Python / JS +
GitHub + APIs +
Cloud deploy</w:t>
            </w:r>
          </w:p>
        </w:tc>
      </w:tr>
      <w:tr w14:paraId="4227F87A">
        <w:tc>
          <w:tcPr>
            <w:tcW w:w="1800" w:type="dxa"/>
            <w:tcBorders>
              <w:top w:val="single" w:color="E2E8F0" w:sz="0" w:space="0"/>
              <w:left w:val="single" w:color="E2E8F0" w:sz="0" w:space="0"/>
              <w:bottom w:val="single" w:color="E2E8F0" w:sz="0" w:space="0"/>
              <w:right w:val="single" w:color="E2E8F0" w:sz="0" w:space="0"/>
            </w:tcBorders>
            <w:shd w:val="clear" w:color="auto" w:fill="1A3A5F"/>
            <w:tcMar>
              <w:top w:w="80" w:type="dxa"/>
              <w:left w:w="110" w:type="dxa"/>
              <w:bottom w:w="80" w:type="dxa"/>
              <w:right w:w="110" w:type="dxa"/>
            </w:tcMar>
            <w:vAlign w:val="center"/>
          </w:tcPr>
          <w:p w14:paraId="1605D761">
            <w:r>
              <w:rPr>
                <w:rFonts w:ascii="Arial" w:hAnsi="Arial" w:eastAsia="Arial" w:cs="Arial"/>
                <w:b/>
                <w:bCs/>
                <w:color w:val="FFFFFF"/>
                <w:sz w:val="18"/>
                <w:szCs w:val="18"/>
              </w:rPr>
              <w:t>Key CSTA
standards (AP)</w:t>
            </w:r>
          </w:p>
        </w:tc>
        <w:tc>
          <w:tcPr>
            <w:tcW w:w="1890" w:type="dxa"/>
            <w:tcBorders>
              <w:top w:val="single" w:color="E2E8F0" w:sz="0" w:space="0"/>
              <w:left w:val="single" w:color="E2E8F0" w:sz="0" w:space="0"/>
              <w:bottom w:val="single" w:color="E2E8F0" w:sz="0" w:space="0"/>
              <w:right w:val="single" w:color="E2E8F0" w:sz="0" w:space="0"/>
            </w:tcBorders>
            <w:shd w:val="clear" w:color="auto" w:fill="F8FAFC"/>
            <w:tcMar>
              <w:top w:w="80" w:type="dxa"/>
              <w:left w:w="110" w:type="dxa"/>
              <w:bottom w:w="80" w:type="dxa"/>
              <w:right w:w="110" w:type="dxa"/>
            </w:tcMar>
            <w:vAlign w:val="top"/>
          </w:tcPr>
          <w:p w14:paraId="45F65769">
            <w:pPr>
              <w:spacing w:after="30"/>
            </w:pPr>
            <w:r>
              <w:rPr>
                <w:rFonts w:ascii="Arial" w:hAnsi="Arial" w:eastAsia="Arial" w:cs="Arial"/>
                <w:color w:val="0D1B4B"/>
                <w:sz w:val="17"/>
                <w:szCs w:val="17"/>
              </w:rPr>
              <w:t>1A-AP-08 to 15
(sequences, loops,
decomposition, data)</w:t>
            </w:r>
          </w:p>
        </w:tc>
        <w:tc>
          <w:tcPr>
            <w:tcW w:w="1890" w:type="dxa"/>
            <w:tcBorders>
              <w:top w:val="single" w:color="E2E8F0" w:sz="0" w:space="0"/>
              <w:left w:val="single" w:color="E2E8F0" w:sz="0" w:space="0"/>
              <w:bottom w:val="single" w:color="E2E8F0" w:sz="0" w:space="0"/>
              <w:right w:val="single" w:color="E2E8F0" w:sz="0" w:space="0"/>
            </w:tcBorders>
            <w:shd w:val="clear" w:color="auto" w:fill="F8FAFC"/>
            <w:tcMar>
              <w:top w:w="80" w:type="dxa"/>
              <w:left w:w="110" w:type="dxa"/>
              <w:bottom w:w="80" w:type="dxa"/>
              <w:right w:w="110" w:type="dxa"/>
            </w:tcMar>
            <w:vAlign w:val="top"/>
          </w:tcPr>
          <w:p w14:paraId="3CAC8421">
            <w:pPr>
              <w:spacing w:after="30"/>
            </w:pPr>
            <w:r>
              <w:rPr>
                <w:rFonts w:ascii="Arial" w:hAnsi="Arial" w:eastAsia="Arial" w:cs="Arial"/>
                <w:color w:val="0D1B4B"/>
                <w:sz w:val="17"/>
                <w:szCs w:val="17"/>
              </w:rPr>
              <w:t>1B-AP-08 to 17
2-AP-10 to 19
(variables, conditions,
procedures, debugging)</w:t>
            </w:r>
          </w:p>
        </w:tc>
        <w:tc>
          <w:tcPr>
            <w:tcW w:w="1890" w:type="dxa"/>
            <w:tcBorders>
              <w:top w:val="single" w:color="E2E8F0" w:sz="0" w:space="0"/>
              <w:left w:val="single" w:color="E2E8F0" w:sz="0" w:space="0"/>
              <w:bottom w:val="single" w:color="E2E8F0" w:sz="0" w:space="0"/>
              <w:right w:val="single" w:color="E2E8F0" w:sz="0" w:space="0"/>
            </w:tcBorders>
            <w:shd w:val="clear" w:color="auto" w:fill="F8FAFC"/>
            <w:tcMar>
              <w:top w:w="80" w:type="dxa"/>
              <w:left w:w="110" w:type="dxa"/>
              <w:bottom w:w="80" w:type="dxa"/>
              <w:right w:w="110" w:type="dxa"/>
            </w:tcMar>
            <w:vAlign w:val="top"/>
          </w:tcPr>
          <w:p w14:paraId="68DE64C7">
            <w:pPr>
              <w:spacing w:after="30"/>
            </w:pPr>
            <w:r>
              <w:rPr>
                <w:rFonts w:ascii="Arial" w:hAnsi="Arial" w:eastAsia="Arial" w:cs="Arial"/>
                <w:color w:val="0D1B4B"/>
                <w:sz w:val="17"/>
                <w:szCs w:val="17"/>
              </w:rPr>
              <w:t>3A-AP-13 to 23
(modular design,
prototypes, lists,
version control)</w:t>
            </w:r>
          </w:p>
        </w:tc>
        <w:tc>
          <w:tcPr>
            <w:tcW w:w="1890" w:type="dxa"/>
            <w:tcBorders>
              <w:top w:val="single" w:color="E2E8F0" w:sz="0" w:space="0"/>
              <w:left w:val="single" w:color="E2E8F0" w:sz="0" w:space="0"/>
              <w:bottom w:val="single" w:color="E2E8F0" w:sz="0" w:space="0"/>
              <w:right w:val="single" w:color="E2E8F0" w:sz="0" w:space="0"/>
            </w:tcBorders>
            <w:shd w:val="clear" w:color="auto" w:fill="F8FAFC"/>
            <w:tcMar>
              <w:top w:w="80" w:type="dxa"/>
              <w:left w:w="110" w:type="dxa"/>
              <w:bottom w:w="80" w:type="dxa"/>
              <w:right w:w="110" w:type="dxa"/>
            </w:tcMar>
            <w:vAlign w:val="top"/>
          </w:tcPr>
          <w:p w14:paraId="212A27F4">
            <w:pPr>
              <w:spacing w:after="30"/>
            </w:pPr>
            <w:r>
              <w:rPr>
                <w:rFonts w:ascii="Arial" w:hAnsi="Arial" w:eastAsia="Arial" w:cs="Arial"/>
                <w:color w:val="0D1B4B"/>
                <w:sz w:val="17"/>
                <w:szCs w:val="17"/>
              </w:rPr>
              <w:t>3B-AP-08 to 24
(recursion, data structures,
APIs, code review,
multi-platform)</w:t>
            </w:r>
          </w:p>
        </w:tc>
      </w:tr>
      <w:tr w14:paraId="125B68EF">
        <w:tc>
          <w:tcPr>
            <w:tcW w:w="1800" w:type="dxa"/>
            <w:tcBorders>
              <w:top w:val="single" w:color="E2E8F0" w:sz="0" w:space="0"/>
              <w:left w:val="single" w:color="E2E8F0" w:sz="0" w:space="0"/>
              <w:bottom w:val="single" w:color="E2E8F0" w:sz="0" w:space="0"/>
              <w:right w:val="single" w:color="E2E8F0" w:sz="0" w:space="0"/>
            </w:tcBorders>
            <w:shd w:val="clear" w:color="auto" w:fill="1A3A5F"/>
            <w:tcMar>
              <w:top w:w="80" w:type="dxa"/>
              <w:left w:w="110" w:type="dxa"/>
              <w:bottom w:w="80" w:type="dxa"/>
              <w:right w:w="110" w:type="dxa"/>
            </w:tcMar>
            <w:vAlign w:val="center"/>
          </w:tcPr>
          <w:p w14:paraId="1E3247D1">
            <w:r>
              <w:rPr>
                <w:rFonts w:ascii="Arial" w:hAnsi="Arial" w:eastAsia="Arial" w:cs="Arial"/>
                <w:b/>
                <w:bCs/>
                <w:color w:val="FFFFFF"/>
                <w:sz w:val="18"/>
                <w:szCs w:val="18"/>
              </w:rPr>
              <w:t>Planner constraint
examples</w:t>
            </w:r>
          </w:p>
        </w:tc>
        <w:tc>
          <w:tcPr>
            <w:tcW w:w="1890" w:type="dxa"/>
            <w:tcBorders>
              <w:top w:val="single" w:color="E2E8F0" w:sz="0" w:space="0"/>
              <w:left w:val="single" w:color="E2E8F0" w:sz="0" w:space="0"/>
              <w:bottom w:val="single" w:color="E2E8F0" w:sz="0" w:space="0"/>
              <w:right w:val="single" w:color="E2E8F0" w:sz="0" w:space="0"/>
            </w:tcBorders>
            <w:shd w:val="clear" w:color="auto" w:fill="FFFFFF"/>
            <w:tcMar>
              <w:top w:w="80" w:type="dxa"/>
              <w:left w:w="110" w:type="dxa"/>
              <w:bottom w:w="80" w:type="dxa"/>
              <w:right w:w="110" w:type="dxa"/>
            </w:tcMar>
            <w:vAlign w:val="top"/>
          </w:tcPr>
          <w:p w14:paraId="7EE8953C">
            <w:pPr>
              <w:spacing w:after="30"/>
            </w:pPr>
            <w:r>
              <w:rPr>
                <w:rFonts w:ascii="Arial" w:hAnsi="Arial" w:eastAsia="Arial" w:cs="Arial"/>
                <w:color w:val="0D1B4B"/>
                <w:sz w:val="17"/>
                <w:szCs w:val="17"/>
              </w:rPr>
              <w:t>no_raw_syntax: true
format: "story+visual"
tester_mode:
"logic_check"
max_min: 20</w:t>
            </w:r>
          </w:p>
        </w:tc>
        <w:tc>
          <w:tcPr>
            <w:tcW w:w="1890" w:type="dxa"/>
            <w:tcBorders>
              <w:top w:val="single" w:color="E2E8F0" w:sz="0" w:space="0"/>
              <w:left w:val="single" w:color="E2E8F0" w:sz="0" w:space="0"/>
              <w:bottom w:val="single" w:color="E2E8F0" w:sz="0" w:space="0"/>
              <w:right w:val="single" w:color="E2E8F0" w:sz="0" w:space="0"/>
            </w:tcBorders>
            <w:shd w:val="clear" w:color="auto" w:fill="FFFFFF"/>
            <w:tcMar>
              <w:top w:w="80" w:type="dxa"/>
              <w:left w:w="110" w:type="dxa"/>
              <w:bottom w:w="80" w:type="dxa"/>
              <w:right w:w="110" w:type="dxa"/>
            </w:tcMar>
            <w:vAlign w:val="top"/>
          </w:tcPr>
          <w:p w14:paraId="0CE74740">
            <w:pPr>
              <w:spacing w:after="30"/>
            </w:pPr>
            <w:r>
              <w:rPr>
                <w:rFonts w:ascii="Arial" w:hAnsi="Arial" w:eastAsia="Arial" w:cs="Arial"/>
                <w:color w:val="0D1B4B"/>
                <w:sz w:val="17"/>
                <w:szCs w:val="17"/>
              </w:rPr>
              <w:t>format: "scaffold_text"
tester_mode:
"simple_exec"
exercise: "fill_blank"</w:t>
            </w:r>
          </w:p>
        </w:tc>
        <w:tc>
          <w:tcPr>
            <w:tcW w:w="1890" w:type="dxa"/>
            <w:tcBorders>
              <w:top w:val="single" w:color="E2E8F0" w:sz="0" w:space="0"/>
              <w:left w:val="single" w:color="E2E8F0" w:sz="0" w:space="0"/>
              <w:bottom w:val="single" w:color="E2E8F0" w:sz="0" w:space="0"/>
              <w:right w:val="single" w:color="E2E8F0" w:sz="0" w:space="0"/>
            </w:tcBorders>
            <w:shd w:val="clear" w:color="auto" w:fill="FFFFFF"/>
            <w:tcMar>
              <w:top w:w="80" w:type="dxa"/>
              <w:left w:w="110" w:type="dxa"/>
              <w:bottom w:w="80" w:type="dxa"/>
              <w:right w:w="110" w:type="dxa"/>
            </w:tcMar>
            <w:vAlign w:val="top"/>
          </w:tcPr>
          <w:p w14:paraId="5C109CF8">
            <w:pPr>
              <w:spacing w:after="30"/>
            </w:pPr>
            <w:r>
              <w:rPr>
                <w:rFonts w:ascii="Arial" w:hAnsi="Arial" w:eastAsia="Arial" w:cs="Arial"/>
                <w:color w:val="0D1B4B"/>
                <w:sz w:val="17"/>
                <w:szCs w:val="17"/>
              </w:rPr>
              <w:t>format: "text_project"
tester_mode:
"sandbox_exec"
exercise: "feature_build"
PBL: true</w:t>
            </w:r>
          </w:p>
        </w:tc>
        <w:tc>
          <w:tcPr>
            <w:tcW w:w="1890" w:type="dxa"/>
            <w:tcBorders>
              <w:top w:val="single" w:color="E2E8F0" w:sz="0" w:space="0"/>
              <w:left w:val="single" w:color="E2E8F0" w:sz="0" w:space="0"/>
              <w:bottom w:val="single" w:color="E2E8F0" w:sz="0" w:space="0"/>
              <w:right w:val="single" w:color="E2E8F0" w:sz="0" w:space="0"/>
            </w:tcBorders>
            <w:shd w:val="clear" w:color="auto" w:fill="FFFFFF"/>
            <w:tcMar>
              <w:top w:w="80" w:type="dxa"/>
              <w:left w:w="110" w:type="dxa"/>
              <w:bottom w:w="80" w:type="dxa"/>
              <w:right w:w="110" w:type="dxa"/>
            </w:tcMar>
            <w:vAlign w:val="top"/>
          </w:tcPr>
          <w:p w14:paraId="1E330F23">
            <w:pPr>
              <w:spacing w:after="30"/>
            </w:pPr>
            <w:r>
              <w:rPr>
                <w:rFonts w:ascii="Arial" w:hAnsi="Arial" w:eastAsia="Arial" w:cs="Arial"/>
                <w:color w:val="0D1B4B"/>
                <w:sz w:val="17"/>
                <w:szCs w:val="17"/>
              </w:rPr>
              <w:t>format: "engineering"
tester_mode:
"sandbox+testsuite"
exercise: "code_review"</w:t>
            </w:r>
          </w:p>
        </w:tc>
      </w:tr>
    </w:tbl>
    <w:p w14:paraId="2A565E69">
      <w:pPr>
        <w:spacing w:before="120" w:after="0"/>
      </w:pPr>
    </w:p>
    <w:p w14:paraId="1CD38F21">
      <w:pPr>
        <w:pBdr>
          <w:left w:val="single" w:color="028090" w:sz="20" w:space="8"/>
        </w:pBdr>
        <w:shd w:val="clear" w:fill="D0F0EB"/>
        <w:spacing w:before="80" w:after="160"/>
        <w:ind w:left="120"/>
      </w:pPr>
      <w:r>
        <w:rPr>
          <w:i/>
          <w:iCs/>
          <w:color w:val="028090"/>
          <w:sz w:val="18"/>
          <w:szCs w:val="18"/>
        </w:rPr>
        <w:t>How to use this matrix: When the Planner receives an input (age, topic), it looks up the corresponding tier column and injects those constraints into the Generator's prompt. The Planner output JSON should always include: format, tester_mode, exercise_type, and max_session_min derived from this table.</w:t>
      </w:r>
    </w:p>
    <w:p w14:paraId="0A09FF7F">
      <w:r>
        <w:br w:type="page"/>
      </w:r>
    </w:p>
    <w:p w14:paraId="3C7AD837">
      <w:pPr>
        <w:pStyle w:val="2"/>
      </w:pPr>
      <w:r>
        <w:t>5  Design Implications for LectMate Modules</w:t>
      </w:r>
    </w:p>
    <w:p w14:paraId="4212EF7D">
      <w:pPr>
        <w:pStyle w:val="3"/>
      </w:pPr>
      <w:r>
        <w:t>5.1  Planner Module</w:t>
      </w:r>
    </w:p>
    <w:p w14:paraId="6FC9F1AF">
      <w:pPr>
        <w:pStyle w:val="16"/>
        <w:numPr>
          <w:ilvl w:val="0"/>
          <w:numId w:val="1"/>
        </w:numPr>
        <w:spacing w:after="80"/>
      </w:pPr>
      <w:r>
        <w:rPr>
          <w:sz w:val="19"/>
          <w:szCs w:val="19"/>
        </w:rPr>
        <w:t>Age-tier lookup must happen before any other Planner logic — it gates all downstream constraints.</w:t>
      </w:r>
    </w:p>
    <w:p w14:paraId="59F7AA3D">
      <w:pPr>
        <w:pStyle w:val="16"/>
        <w:numPr>
          <w:ilvl w:val="0"/>
          <w:numId w:val="1"/>
        </w:numPr>
        <w:spacing w:after="80"/>
      </w:pPr>
      <w:r>
        <w:rPr>
          <w:sz w:val="19"/>
          <w:szCs w:val="19"/>
        </w:rPr>
        <w:t>Planner should query the knowledge base for the CSTA standards that apply to the target tier, then use them to constrain the learning objectives it generates.</w:t>
      </w:r>
    </w:p>
    <w:p w14:paraId="387A6859">
      <w:pPr>
        <w:pStyle w:val="16"/>
        <w:numPr>
          <w:ilvl w:val="0"/>
          <w:numId w:val="1"/>
        </w:numPr>
        <w:spacing w:after="80"/>
      </w:pPr>
      <w:r>
        <w:rPr>
          <w:sz w:val="19"/>
          <w:szCs w:val="19"/>
        </w:rPr>
        <w:t>Session length constraint must be enforced: the Planner should not schedule a 6-year-old session exceeding 20 minutes regardless of topic complexity.</w:t>
      </w:r>
    </w:p>
    <w:p w14:paraId="41093153">
      <w:pPr>
        <w:pStyle w:val="3"/>
      </w:pPr>
      <w:r>
        <w:t>5.2  Generator Module</w:t>
      </w:r>
    </w:p>
    <w:p w14:paraId="63CAC5EB">
      <w:pPr>
        <w:pStyle w:val="16"/>
        <w:numPr>
          <w:ilvl w:val="0"/>
          <w:numId w:val="1"/>
        </w:numPr>
        <w:spacing w:after="80"/>
      </w:pPr>
      <w:r>
        <w:rPr>
          <w:sz w:val="19"/>
          <w:szCs w:val="19"/>
        </w:rPr>
        <w:t>Story/metaphor module: active for Tiers 1–2; optional for Tier 3; off for Tier 4. This is a binary flag set by the Planner, not an editorial choice made by the Generator.</w:t>
      </w:r>
    </w:p>
    <w:p w14:paraId="58E5AC8A">
      <w:pPr>
        <w:pStyle w:val="16"/>
        <w:numPr>
          <w:ilvl w:val="0"/>
          <w:numId w:val="1"/>
        </w:numPr>
        <w:spacing w:after="80"/>
      </w:pPr>
      <w:r>
        <w:rPr>
          <w:sz w:val="19"/>
          <w:szCs w:val="19"/>
        </w:rPr>
        <w:t>Exercise module prompt must include the tier's exercise_type constraint — the Generator should not produce a "code review" exercise for a 9-year-old.</w:t>
      </w:r>
    </w:p>
    <w:p w14:paraId="60F18EE1">
      <w:pPr>
        <w:pStyle w:val="16"/>
        <w:numPr>
          <w:ilvl w:val="0"/>
          <w:numId w:val="1"/>
        </w:numPr>
        <w:spacing w:after="80"/>
      </w:pPr>
      <w:r>
        <w:rPr>
          <w:sz w:val="19"/>
          <w:szCs w:val="19"/>
        </w:rPr>
        <w:t>Tutor guide module must reference the correct style (physical analogy / Socratic / peer-review checklist) based on tier.</w:t>
      </w:r>
    </w:p>
    <w:p w14:paraId="41967011">
      <w:pPr>
        <w:pStyle w:val="3"/>
      </w:pPr>
      <w:r>
        <w:t>5.3  Tester Module</w:t>
      </w:r>
    </w:p>
    <w:p w14:paraId="05171E26">
      <w:pPr>
        <w:pStyle w:val="16"/>
        <w:numPr>
          <w:ilvl w:val="0"/>
          <w:numId w:val="1"/>
        </w:numPr>
        <w:spacing w:after="80"/>
      </w:pPr>
      <w:r>
        <w:rPr>
          <w:sz w:val="19"/>
          <w:szCs w:val="19"/>
        </w:rPr>
        <w:t>Tier 1 (6–9): No code execution. Tester performs logical consistency check — e.g., verifies that the repeat count in the story narrative matches the repeat count in the visual exercise.</w:t>
      </w:r>
    </w:p>
    <w:p w14:paraId="1F71DEB6">
      <w:pPr>
        <w:pStyle w:val="16"/>
        <w:numPr>
          <w:ilvl w:val="0"/>
          <w:numId w:val="1"/>
        </w:numPr>
        <w:spacing w:after="80"/>
      </w:pPr>
      <w:r>
        <w:rPr>
          <w:sz w:val="19"/>
          <w:szCs w:val="19"/>
        </w:rPr>
        <w:t>Tier 2 (10–13): Lightweight code execution for simple Python syntax; logic check for block-based exercises.</w:t>
      </w:r>
    </w:p>
    <w:p w14:paraId="03C9AB11">
      <w:pPr>
        <w:pStyle w:val="16"/>
        <w:numPr>
          <w:ilvl w:val="0"/>
          <w:numId w:val="1"/>
        </w:numPr>
        <w:spacing w:after="80"/>
      </w:pPr>
      <w:r>
        <w:rPr>
          <w:sz w:val="19"/>
          <w:szCs w:val="19"/>
        </w:rPr>
        <w:t>Tiers 3–4 (14–21): Full sandbox execution (E2B or Judge0). Tier 4 adds test-suite pass/fail.</w:t>
      </w:r>
    </w:p>
    <w:p w14:paraId="20F40CBB">
      <w:pPr>
        <w:pStyle w:val="3"/>
      </w:pPr>
      <w:r>
        <w:t>5.4  Open Questions for Team Discussion</w:t>
      </w:r>
    </w:p>
    <w:p w14:paraId="45FA8D02">
      <w:pPr>
        <w:pStyle w:val="16"/>
        <w:numPr>
          <w:ilvl w:val="0"/>
          <w:numId w:val="1"/>
        </w:numPr>
        <w:spacing w:after="80"/>
      </w:pPr>
      <w:r>
        <w:rPr>
          <w:sz w:val="19"/>
          <w:szCs w:val="19"/>
        </w:rPr>
        <w:t>Age-tier boundaries: Should the tiers be hard-coded, or should the Planner accept an override from the curriculum engineer (e.g., "this 10-year-old is already coding in Python")?</w:t>
      </w:r>
    </w:p>
    <w:p w14:paraId="280E129C">
      <w:pPr>
        <w:pStyle w:val="16"/>
        <w:numPr>
          <w:ilvl w:val="0"/>
          <w:numId w:val="1"/>
        </w:numPr>
        <w:spacing w:after="80"/>
      </w:pPr>
      <w:r>
        <w:rPr>
          <w:sz w:val="19"/>
          <w:szCs w:val="19"/>
        </w:rPr>
        <w:t>Baseline assessment: How does the system determine a student's actual baseline? A short diagnostic quiz at enrolment, or tutor manual input?</w:t>
      </w:r>
    </w:p>
    <w:p w14:paraId="26D62828">
      <w:pPr>
        <w:pStyle w:val="16"/>
        <w:numPr>
          <w:ilvl w:val="0"/>
          <w:numId w:val="1"/>
        </w:numPr>
        <w:spacing w:after="80"/>
      </w:pPr>
      <w:r>
        <w:rPr>
          <w:sz w:val="19"/>
          <w:szCs w:val="19"/>
        </w:rPr>
        <w:t>Tier 2 code execution scope: At what point in Tier 2 (age 10 vs 13) does code execution become active? Should this be governed by a sub-tier (e.g., 10–11 = logic only, 12–13 = simple exec)?</w:t>
      </w:r>
    </w:p>
    <w:p w14:paraId="73096BD0">
      <w:pPr>
        <w:pStyle w:val="2"/>
      </w:pPr>
      <w:r>
        <w:t>6  Key References</w:t>
      </w:r>
    </w:p>
    <w:p w14:paraId="466D1984">
      <w:pPr>
        <w:spacing w:after="80"/>
        <w:ind w:left="360" w:hanging="360"/>
      </w:pPr>
      <w:r>
        <w:rPr>
          <w:rFonts w:ascii="Arial" w:hAnsi="Arial" w:eastAsia="Arial" w:cs="Arial"/>
          <w:color w:val="0D1B4B"/>
          <w:sz w:val="17"/>
          <w:szCs w:val="17"/>
        </w:rPr>
        <w:t>1.  Piaget, J. (1953). The Origin of Intelligence in the Child. Routledge.</w:t>
      </w:r>
    </w:p>
    <w:p w14:paraId="22A25C2B">
      <w:pPr>
        <w:spacing w:after="80"/>
        <w:ind w:left="360" w:hanging="360"/>
      </w:pPr>
      <w:r>
        <w:rPr>
          <w:rFonts w:ascii="Arial" w:hAnsi="Arial" w:eastAsia="Arial" w:cs="Arial"/>
          <w:color w:val="0D1B4B"/>
          <w:sz w:val="17"/>
          <w:szCs w:val="17"/>
        </w:rPr>
        <w:t>2.  Vygotsky, L. S. (1978). Mind in Society: The Development of Higher Psychological Processes. Harvard University Press.</w:t>
      </w:r>
    </w:p>
    <w:p w14:paraId="5EE91140">
      <w:pPr>
        <w:spacing w:after="80"/>
        <w:ind w:left="360" w:hanging="360"/>
      </w:pPr>
      <w:r>
        <w:rPr>
          <w:rFonts w:ascii="Arial" w:hAnsi="Arial" w:eastAsia="Arial" w:cs="Arial"/>
          <w:color w:val="0D1B4B"/>
          <w:sz w:val="17"/>
          <w:szCs w:val="17"/>
        </w:rPr>
        <w:t>3.  Wood, D., Bruner, J. S., &amp; Ross, G. (1976). The role of tutoring in problem solving. Journal of Child Psychology and Psychiatry, 17(2), 89–100.</w:t>
      </w:r>
    </w:p>
    <w:p w14:paraId="2016D5AA">
      <w:pPr>
        <w:spacing w:after="80"/>
        <w:ind w:left="360" w:hanging="360"/>
      </w:pPr>
      <w:r>
        <w:rPr>
          <w:rFonts w:ascii="Arial" w:hAnsi="Arial" w:eastAsia="Arial" w:cs="Arial"/>
          <w:color w:val="0D1B4B"/>
          <w:sz w:val="17"/>
          <w:szCs w:val="17"/>
        </w:rPr>
        <w:t>4.  Knowles, M. S. (1980). The Modern Practice of Adult Education: From Pedagogy to Andragogy. Follett.</w:t>
      </w:r>
    </w:p>
    <w:p w14:paraId="562BCA84">
      <w:pPr>
        <w:spacing w:after="80"/>
        <w:ind w:left="360" w:hanging="360"/>
      </w:pPr>
      <w:r>
        <w:rPr>
          <w:rFonts w:ascii="Arial" w:hAnsi="Arial" w:eastAsia="Arial" w:cs="Arial"/>
          <w:color w:val="0D1B4B"/>
          <w:sz w:val="17"/>
          <w:szCs w:val="17"/>
        </w:rPr>
        <w:t>5.  CSTA. (2017). K–12 Computer Science Standards, Revised 2017. Computer Science Teachers Association. https://csteachers.org/k12standards/</w:t>
      </w:r>
    </w:p>
    <w:p w14:paraId="66D15F62">
      <w:pPr>
        <w:spacing w:after="80"/>
        <w:ind w:left="360" w:hanging="360"/>
      </w:pPr>
      <w:r>
        <w:rPr>
          <w:rFonts w:ascii="Arial" w:hAnsi="Arial" w:eastAsia="Arial" w:cs="Arial"/>
          <w:color w:val="0D1B4B"/>
          <w:sz w:val="17"/>
          <w:szCs w:val="17"/>
        </w:rPr>
        <w:t>6.  Bers, M. U., et al. (2018). What they learn when they learn coding. ResearchGate / Developmental Psychology.</w:t>
      </w:r>
    </w:p>
    <w:p w14:paraId="34D25591">
      <w:pPr>
        <w:spacing w:after="80"/>
        <w:ind w:left="360" w:hanging="360"/>
      </w:pPr>
      <w:r>
        <w:rPr>
          <w:rFonts w:ascii="Arial" w:hAnsi="Arial" w:eastAsia="Arial" w:cs="Arial"/>
          <w:color w:val="0D1B4B"/>
          <w:sz w:val="17"/>
          <w:szCs w:val="17"/>
        </w:rPr>
        <w:t>7.  Zhang, Y., &amp; Ma, W. (2023). A study of the impact of project-based learning on student learning effects: a meta-analysis study. Frontiers in Psychology, 14. https://doi.org/10.3389/fpsyg.2023.1202728</w:t>
      </w:r>
    </w:p>
    <w:p w14:paraId="125B63EA">
      <w:pPr>
        <w:spacing w:after="80"/>
        <w:ind w:left="360" w:hanging="360"/>
      </w:pPr>
      <w:r>
        <w:rPr>
          <w:rFonts w:ascii="Arial" w:hAnsi="Arial" w:eastAsia="Arial" w:cs="Arial"/>
          <w:color w:val="0D1B4B"/>
          <w:sz w:val="17"/>
          <w:szCs w:val="17"/>
        </w:rPr>
        <w:t>8.  Saleh, A., et al. (2025). The effectiveness of project-based learning in development of C# programming language skills. Discover Education, Springer Nature. https://doi.org/10.1007/s44217-025-00633-0</w:t>
      </w:r>
    </w:p>
    <w:p w14:paraId="3C5C88B9">
      <w:pPr>
        <w:spacing w:after="80"/>
        <w:ind w:left="360" w:hanging="360"/>
      </w:pPr>
      <w:r>
        <w:rPr>
          <w:rFonts w:ascii="Arial" w:hAnsi="Arial" w:eastAsia="Arial" w:cs="Arial"/>
          <w:color w:val="0D1B4B"/>
          <w:sz w:val="17"/>
          <w:szCs w:val="17"/>
        </w:rPr>
        <w:t>9.  Akgul, B., &amp; Kayaduman, H. (2025). The effectiveness of ChatGPT in assisting high school students in programming learning. Educational Technology Research &amp; Development (Tandfonline). https://doi.org/10.1080/10494820.2025.2450659</w:t>
      </w:r>
    </w:p>
    <w:p w14:paraId="261CC21B">
      <w:pPr>
        <w:spacing w:after="80"/>
        <w:ind w:left="360" w:hanging="360"/>
      </w:pPr>
      <w:r>
        <w:rPr>
          <w:rFonts w:ascii="Arial" w:hAnsi="Arial" w:eastAsia="Arial" w:cs="Arial"/>
          <w:color w:val="0D1B4B"/>
          <w:sz w:val="17"/>
          <w:szCs w:val="17"/>
        </w:rPr>
        <w:t>10.  Yumruk, et al. (2025). Innovative approaches in teaching coding skills to young children: a scoping review. Educational Technology Quarterly, 2(3), 330–354. https://doi.org/10.55056/etq.916</w:t>
      </w:r>
    </w:p>
    <w:bookmarkEnd w:id="0"/>
    <w:sectPr>
      <w:headerReference r:id="rId3" w:type="default"/>
      <w:footerReference r:id="rId4" w:type="default"/>
      <w:pgSz w:w="12240" w:h="15840"/>
      <w:pgMar w:top="1080" w:right="1080" w:bottom="1080" w:left="1080" w:header="708" w:footer="708" w:gutter="0"/>
      <w:cols w:space="720" w:num="1"/>
      <w:docGrid w:linePitch="360" w:charSpace="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Times New Roman">
    <w:panose1 w:val="02020603050405020304"/>
    <w:charset w:val="00"/>
    <w:family w:val="roman"/>
    <w:pitch w:val="variable"/>
    <w:sig w:usb0="20007A87" w:usb1="80000000" w:usb2="00000008" w:usb3="00000000" w:csb0="000001FF" w:csb1="00000000"/>
  </w:font>
  <w:font w:name="宋体">
    <w:altName w:val="SimSun"/>
    <w:panose1 w:val="02010600030101010101"/>
    <w:charset w:val="86"/>
    <w:family w:val="auto"/>
    <w:pitch w:val="variable"/>
    <w:sig w:usb0="00000003" w:usb1="080E0000" w:usb2="00000010" w:usb3="00000000" w:csb0="00040001" w:csb1="00000000"/>
  </w:font>
  <w:font w:name="SimSun">
    <w:altName w:val="汉仪书宋二KW"/>
    <w:panose1 w:val="00000000000000000000"/>
    <w:charset w:val="86"/>
    <w:family w:val="auto"/>
    <w:pitch w:val="default"/>
    <w:sig w:usb0="00000000" w:usb1="00000000" w:usb2="00000000" w:usb3="00000000" w:csb0="00000000" w:csb1="00000000"/>
  </w:font>
  <w:font w:name="Arial">
    <w:panose1 w:val="020B0704020202020204"/>
    <w:charset w:val="00"/>
    <w:family w:val="swiss"/>
    <w:pitch w:val="default"/>
    <w:sig w:usb0="E0002AFF" w:usb1="C0007843" w:usb2="00000009" w:usb3="00000000" w:csb0="400001FF" w:csb1="FFFF0000"/>
  </w:font>
  <w:font w:name="SimHei">
    <w:altName w:val="汉仪中黑KW"/>
    <w:panose1 w:val="02010600030101010101"/>
    <w:charset w:val="00"/>
    <w:family w:val="auto"/>
    <w:pitch w:val="default"/>
    <w:sig w:usb0="00000001" w:usb1="080E0000" w:usb2="00000010" w:usb3="00000000" w:csb0="00040000" w:csb1="00000000"/>
  </w:font>
  <w:font w:name="Courier New">
    <w:panose1 w:val="02070609020205020404"/>
    <w:charset w:val="00"/>
    <w:family w:val="modern"/>
    <w:pitch w:val="default"/>
    <w:sig w:usb0="E0002AFF" w:usb1="C0007843" w:usb2="00000009" w:usb3="00000000" w:csb0="400001FF" w:csb1="FFFF0000"/>
  </w:font>
  <w:font w:name="Wingdings">
    <w:panose1 w:val="05000000000000000000"/>
    <w:charset w:val="00"/>
    <w:family w:val="auto"/>
    <w:pitch w:val="default"/>
    <w:sig w:usb0="00000000" w:usb1="00000000" w:usb2="00000000" w:usb3="00000000" w:csb0="80000000" w:csb1="00000000"/>
  </w:font>
  <w:font w:name="Calibri">
    <w:altName w:val="Helvetica Neue"/>
    <w:panose1 w:val="020F0502020204030204"/>
    <w:charset w:val="00"/>
    <w:family w:val="swiss"/>
    <w:pitch w:val="default"/>
    <w:sig w:usb0="00000000" w:usb1="00000000" w:usb2="00000001" w:usb3="00000000" w:csb0="0000019F" w:csb1="00000000"/>
  </w:font>
  <w:font w:name="等线">
    <w:altName w:val="汉仪中等线KW"/>
    <w:panose1 w:val="00000000000000000000"/>
    <w:charset w:val="86"/>
    <w:family w:val="auto"/>
    <w:pitch w:val="default"/>
    <w:sig w:usb0="00000000" w:usb1="00000000" w:usb2="00000000" w:usb3="00000000" w:csb0="00000000" w:csb1="00000000"/>
  </w:font>
  <w:font w:name="Arial">
    <w:panose1 w:val="020B0704020202020204"/>
    <w:charset w:val="86"/>
    <w:family w:val="swiss"/>
    <w:pitch w:val="default"/>
    <w:sig w:usb0="E0002AFF" w:usb1="C0007843" w:usb2="00000009" w:usb3="00000000" w:csb0="400001FF" w:csb1="FFFF0000"/>
  </w:font>
  <w:font w:name="Apple Color Emoji">
    <w:panose1 w:val="00000000000000000000"/>
    <w:charset w:val="00"/>
    <w:family w:val="auto"/>
    <w:pitch w:val="default"/>
    <w:sig w:usb0="00000003" w:usb1="18000000" w:usb2="14000000" w:usb3="00000000" w:csb0="00000001" w:csb1="00000000"/>
  </w:font>
  <w:font w:name="SimSun">
    <w:altName w:val="汉仪书宋二KW"/>
    <w:panose1 w:val="00000000000000000000"/>
    <w:charset w:val="00"/>
    <w:family w:val="auto"/>
    <w:pitch w:val="default"/>
    <w:sig w:usb0="00000000" w:usb1="00000000" w:usb2="00000000" w:usb3="00000000" w:csb0="00000000" w:csb1="00000000"/>
  </w:font>
  <w:font w:name="汉仪书宋二KW">
    <w:panose1 w:val="00020600040101010101"/>
    <w:charset w:val="86"/>
    <w:family w:val="auto"/>
    <w:pitch w:val="default"/>
    <w:sig w:usb0="A00002BF" w:usb1="18EF7CFA" w:usb2="00000016" w:usb3="00000000" w:csb0="00040000" w:csb1="00000000"/>
  </w:font>
  <w:font w:name="汉仪中等线KW">
    <w:panose1 w:val="01010104010101010101"/>
    <w:charset w:val="86"/>
    <w:family w:val="auto"/>
    <w:pitch w:val="default"/>
    <w:sig w:usb0="800002BF" w:usb1="004F7CFA" w:usb2="00000000" w:usb3="00000000" w:csb0="00040001" w:csb1="00000000"/>
  </w:font>
  <w:font w:name="Helvetica Neue">
    <w:panose1 w:val="02000503000000020004"/>
    <w:charset w:val="00"/>
    <w:family w:val="auto"/>
    <w:pitch w:val="default"/>
    <w:sig w:usb0="E50002FF" w:usb1="500079DB" w:usb2="00000010" w:usb3="00000000" w:csb0="00000000" w:csb1="00000000"/>
  </w:font>
  <w:font w:name="汉仪中黑KW">
    <w:panose1 w:val="00020600040101010101"/>
    <w:charset w:val="86"/>
    <w:family w:val="auto"/>
    <w:pitch w:val="default"/>
    <w:sig w:usb0="A00002BF" w:usb1="18EF7CFA" w:usb2="00000016" w:usb3="00000000" w:csb0="00040000" w:csb1="00000000"/>
  </w:font>
</w:fonts>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14:paraId="4D125377">
    <w:pPr>
      <w:jc w:val="center"/>
    </w:pPr>
    <w:r>
      <w:rPr>
        <w:color w:val="94A3B8"/>
        <w:sz w:val="16"/>
        <w:szCs w:val="16"/>
      </w:rPr>
      <w:t xml:space="preserve">Page </w:t>
    </w:r>
    <w:r>
      <w:rPr>
        <w:color w:val="94A3B8"/>
        <w:sz w:val="16"/>
        <w:szCs w:val="16"/>
      </w:rPr>
      <w:fldChar w:fldCharType="begin"/>
    </w:r>
    <w:r>
      <w:rPr>
        <w:color w:val="94A3B8"/>
        <w:sz w:val="16"/>
        <w:szCs w:val="16"/>
      </w:rPr>
      <w:instrText xml:space="preserve">PAGE</w:instrText>
    </w:r>
    <w:r>
      <w:rPr>
        <w:color w:val="94A3B8"/>
        <w:sz w:val="16"/>
        <w:szCs w:val="16"/>
      </w:rPr>
      <w:fldChar w:fldCharType="separate"/>
    </w:r>
    <w:r>
      <w:rPr>
        <w:color w:val="94A3B8"/>
        <w:sz w:val="16"/>
        <w:szCs w:val="16"/>
      </w:rPr>
      <w:fldChar w:fldCharType="end"/>
    </w:r>
  </w:p>
</w:ftr>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14:paraId="699D9EB4">
    <w:pPr>
      <w:pBdr>
        <w:bottom w:val="single" w:color="E2E8F0" w:sz="4" w:space="4"/>
      </w:pBdr>
      <w:jc w:val="right"/>
    </w:pPr>
    <w:r>
      <w:rPr>
        <w:color w:val="94A3B8"/>
        <w:sz w:val="16"/>
        <w:szCs w:val="16"/>
      </w:rPr>
      <w:t>LectMate · Age-Stratified Pedagogy Research (T01/T02/T03)</w:t>
    </w:r>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p14">
  <w:abstractNum w:abstractNumId="0">
    <w:nsid w:val="342E3B32"/>
    <w:multiLevelType w:val="singleLevel"/>
    <w:tmpl w:val="342E3B32"/>
    <w:lvl w:ilvl="0" w:tentative="0">
      <w:start w:val="1"/>
      <w:numFmt w:val="bullet"/>
      <w:lvlText w:val="•"/>
      <w:lvlJc w:val="left"/>
      <w:pPr>
        <w:ind w:left="560" w:hanging="280"/>
      </w:pPr>
    </w:lvl>
  </w:abstractNum>
  <w:num w:numId="1">
    <w:abstractNumId w:val="0"/>
    <w:lvlOverride w:ilvl="0">
      <w:startOverride w:val="1"/>
    </w:lvlOverride>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xmlns:wpsCustomData="http://www.wps.cn/officeDocument/2013/wpsCustomData" mc:Ignorable="w14">
  <w:zoom w:percent="186"/>
  <w:displayBackgroundShape w:val="1"/>
  <w:documentProtection w:enforcement="0"/>
  <w:compat>
    <w:compatSetting w:name="compatibilityMode" w:uri="http://schemas.microsoft.com/office/word" w:val="15"/>
  </w:compat>
  <w:rsids>
    <w:rsidRoot w:val="00000000"/>
    <w:rsid w:val="5EFC08C3"/>
    <w:rsid w:val="697A7AFC"/>
  </w:rsids>
  <m:mathPr>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http://schemas.openxmlformats.org/wordprocessingml/2006/main" xmlns:w14="http://schemas.microsoft.com/office/word/2010/wordml" xmlns:w10="urn:schemas-microsoft-com:office:word" xmlns:sl="http://schemas.openxmlformats.org/schemaLibrary/2006/main" xmlns:wpsCustomData="http://www.wps.cn/officeDocument/2013/wpsCustomData" mc:Ignorable="w14">
  <w:docDefaults>
    <w:rPrDefault>
      <w:rPr>
        <w:rFonts w:ascii="Arial" w:hAnsi="Arial" w:eastAsia="Arial" w:cs="Arial"/>
      </w:rPr>
    </w:rPrDefault>
    <w:pPrDefault/>
  </w:docDefaults>
  <w:latentStyles w:count="260" w:defQFormat="0" w:defUnhideWhenUsed="1" w:defSemiHidden="1" w:defUIPriority="99" w:defLockedState="0">
    <w:lsdException w:qFormat="1" w:unhideWhenUsed="0" w:uiPriority="0" w:semiHidden="0" w:name="Normal"/>
    <w:lsdException w:qFormat="1" w:unhideWhenUsed="0" w:uiPriority="0" w:semiHidden="0" w:name="heading 1"/>
    <w:lsdException w:qFormat="1" w:unhideWhenUsed="0" w:uiPriority="0" w:semiHidden="0" w:name="heading 2"/>
    <w:lsdException w:qFormat="1" w:unhideWhenUsed="0" w:uiPriority="0" w:semiHidden="0" w:name="heading 3"/>
    <w:lsdException w:qFormat="1" w:unhideWhenUsed="0" w:uiPriority="0" w:semiHidden="0" w:name="heading 4"/>
    <w:lsdException w:qFormat="1" w:unhideWhenUsed="0" w:uiPriority="0" w:semiHidden="0" w:name="heading 5"/>
    <w:lsdException w:qFormat="1" w:unhideWhenUsed="0" w:uiPriority="0" w:semiHidden="0" w:name="heading 6"/>
    <w:lsdException w:qFormat="1" w:uiPriority="0" w:name="heading 7"/>
    <w:lsdException w:qFormat="1" w:uiPriority="0" w:name="heading 8"/>
    <w:lsdException w:qFormat="1" w:uiPriority="0" w:name="heading 9"/>
    <w:lsdException w:unhideWhenUsed="0" w:uiPriority="0" w:semiHidden="0" w:name="index 1"/>
    <w:lsdException w:unhideWhenUsed="0" w:uiPriority="0" w:semiHidden="0" w:name="index 2"/>
    <w:lsdException w:unhideWhenUsed="0" w:uiPriority="0" w:semiHidden="0" w:name="index 3"/>
    <w:lsdException w:unhideWhenUsed="0" w:uiPriority="0" w:semiHidden="0" w:name="index 4"/>
    <w:lsdException w:unhideWhenUsed="0" w:uiPriority="0" w:semiHidden="0" w:name="index 5"/>
    <w:lsdException w:unhideWhenUsed="0" w:uiPriority="0" w:semiHidden="0" w:name="index 6"/>
    <w:lsdException w:unhideWhenUsed="0" w:uiPriority="0" w:semiHidden="0" w:name="index 7"/>
    <w:lsdException w:unhideWhenUsed="0" w:uiPriority="0" w:semiHidden="0" w:name="index 8"/>
    <w:lsdException w:unhideWhenUsed="0" w:uiPriority="0" w:semiHidden="0" w:name="index 9"/>
    <w:lsdException w:unhideWhenUsed="0" w:uiPriority="0" w:semiHidden="0" w:name="toc 1"/>
    <w:lsdException w:unhideWhenUsed="0" w:uiPriority="0" w:semiHidden="0" w:name="toc 2"/>
    <w:lsdException w:unhideWhenUsed="0" w:uiPriority="0" w:semiHidden="0" w:name="toc 3"/>
    <w:lsdException w:unhideWhenUsed="0" w:uiPriority="0" w:semiHidden="0" w:name="toc 4"/>
    <w:lsdException w:unhideWhenUsed="0" w:uiPriority="0" w:semiHidden="0" w:name="toc 5"/>
    <w:lsdException w:unhideWhenUsed="0" w:uiPriority="0" w:semiHidden="0" w:name="toc 6"/>
    <w:lsdException w:unhideWhenUsed="0" w:uiPriority="0" w:semiHidden="0" w:name="toc 7"/>
    <w:lsdException w:unhideWhenUsed="0" w:uiPriority="0" w:semiHidden="0" w:name="toc 8"/>
    <w:lsdException w:unhideWhenUsed="0" w:uiPriority="0" w:semiHidden="0" w:name="toc 9"/>
    <w:lsdException w:unhideWhenUsed="0" w:uiPriority="0" w:semiHidden="0" w:name="Normal Indent"/>
    <w:lsdException w:uiPriority="99" w:name="footnote text"/>
    <w:lsdException w:unhideWhenUsed="0" w:uiPriority="0" w:semiHidden="0" w:name="annotation text"/>
    <w:lsdException w:unhideWhenUsed="0" w:uiPriority="0" w:semiHidden="0" w:name="header"/>
    <w:lsdException w:unhideWhenUsed="0" w:uiPriority="0" w:semiHidden="0" w:name="footer"/>
    <w:lsdException w:unhideWhenUsed="0" w:uiPriority="0" w:semiHidden="0" w:name="index heading"/>
    <w:lsdException w:qFormat="1" w:uiPriority="0" w:name="caption"/>
    <w:lsdException w:unhideWhenUsed="0" w:uiPriority="0" w:semiHidden="0" w:name="table of figures"/>
    <w:lsdException w:unhideWhenUsed="0" w:uiPriority="0" w:semiHidden="0" w:name="envelope address"/>
    <w:lsdException w:unhideWhenUsed="0" w:uiPriority="0" w:semiHidden="0" w:name="envelope return"/>
    <w:lsdException w:uiPriority="99" w:name="footnote reference"/>
    <w:lsdException w:unhideWhenUsed="0" w:uiPriority="0" w:semiHidden="0" w:name="annotation reference"/>
    <w:lsdException w:unhideWhenUsed="0" w:uiPriority="0" w:semiHidden="0" w:name="line number"/>
    <w:lsdException w:unhideWhenUsed="0" w:uiPriority="0" w:semiHidden="0" w:name="page number"/>
    <w:lsdException w:uiPriority="99" w:name="endnote reference"/>
    <w:lsdException w:uiPriority="99" w:name="endnote text"/>
    <w:lsdException w:unhideWhenUsed="0" w:uiPriority="0" w:semiHidden="0" w:name="table of authorities"/>
    <w:lsdException w:unhideWhenUsed="0" w:uiPriority="0" w:semiHidden="0" w:name="macro"/>
    <w:lsdException w:unhideWhenUsed="0" w:uiPriority="0" w:semiHidden="0" w:name="toa heading"/>
    <w:lsdException w:unhideWhenUsed="0" w:uiPriority="0" w:semiHidden="0" w:name="List"/>
    <w:lsdException w:unhideWhenUsed="0" w:uiPriority="0" w:semiHidden="0" w:name="List Bullet"/>
    <w:lsdException w:unhideWhenUsed="0" w:uiPriority="0" w:semiHidden="0" w:name="List Number"/>
    <w:lsdException w:unhideWhenUsed="0" w:uiPriority="0" w:semiHidden="0" w:name="List 2"/>
    <w:lsdException w:unhideWhenUsed="0" w:uiPriority="0" w:semiHidden="0" w:name="List 3"/>
    <w:lsdException w:unhideWhenUsed="0" w:uiPriority="0" w:semiHidden="0" w:name="List 4"/>
    <w:lsdException w:unhideWhenUsed="0" w:uiPriority="0" w:semiHidden="0" w:name="List 5"/>
    <w:lsdException w:unhideWhenUsed="0" w:uiPriority="0" w:semiHidden="0" w:name="List Bullet 2"/>
    <w:lsdException w:unhideWhenUsed="0" w:uiPriority="0" w:semiHidden="0" w:name="List Bullet 3"/>
    <w:lsdException w:unhideWhenUsed="0" w:uiPriority="0" w:semiHidden="0" w:name="List Bullet 4"/>
    <w:lsdException w:unhideWhenUsed="0" w:uiPriority="0" w:semiHidden="0" w:name="List Bullet 5"/>
    <w:lsdException w:unhideWhenUsed="0" w:uiPriority="0" w:semiHidden="0" w:name="List Number 2"/>
    <w:lsdException w:unhideWhenUsed="0" w:uiPriority="0" w:semiHidden="0" w:name="List Number 3"/>
    <w:lsdException w:unhideWhenUsed="0" w:uiPriority="0" w:semiHidden="0" w:name="List Number 4"/>
    <w:lsdException w:unhideWhenUsed="0" w:uiPriority="0" w:semiHidden="0" w:name="List Number 5"/>
    <w:lsdException w:qFormat="1" w:unhideWhenUsed="0" w:uiPriority="0" w:semiHidden="0" w:name="Title"/>
    <w:lsdException w:unhideWhenUsed="0" w:uiPriority="0" w:semiHidden="0" w:name="Closing"/>
    <w:lsdException w:unhideWhenUsed="0" w:uiPriority="0" w:semiHidden="0" w:name="Signature"/>
    <w:lsdException w:unhideWhenUsed="0" w:uiPriority="0" w:name="Default Paragraph Font"/>
    <w:lsdException w:unhideWhenUsed="0" w:uiPriority="0" w:semiHidden="0" w:name="Body Text"/>
    <w:lsdException w:unhideWhenUsed="0" w:uiPriority="0" w:semiHidden="0" w:name="Body Text Indent"/>
    <w:lsdException w:unhideWhenUsed="0" w:uiPriority="0" w:semiHidden="0" w:name="List Continue"/>
    <w:lsdException w:unhideWhenUsed="0" w:uiPriority="0" w:semiHidden="0" w:name="List Continue 2"/>
    <w:lsdException w:unhideWhenUsed="0" w:uiPriority="0" w:semiHidden="0" w:name="List Continue 3"/>
    <w:lsdException w:unhideWhenUsed="0" w:uiPriority="0" w:semiHidden="0" w:name="List Continue 4"/>
    <w:lsdException w:unhideWhenUsed="0" w:uiPriority="0" w:semiHidden="0" w:name="List Continue 5"/>
    <w:lsdException w:unhideWhenUsed="0" w:uiPriority="0" w:semiHidden="0" w:name="Message Header"/>
    <w:lsdException w:qFormat="1" w:unhideWhenUsed="0" w:uiPriority="0" w:semiHidden="0" w:name="Subtitle"/>
    <w:lsdException w:unhideWhenUsed="0" w:uiPriority="0" w:semiHidden="0" w:name="Salutation"/>
    <w:lsdException w:unhideWhenUsed="0" w:uiPriority="0" w:semiHidden="0" w:name="Date"/>
    <w:lsdException w:unhideWhenUsed="0" w:uiPriority="0" w:semiHidden="0" w:name="Body Text First Indent"/>
    <w:lsdException w:unhideWhenUsed="0" w:uiPriority="0" w:semiHidden="0" w:name="Body Text First Indent 2"/>
    <w:lsdException w:unhideWhenUsed="0" w:uiPriority="0" w:semiHidden="0" w:name="Note Heading"/>
    <w:lsdException w:unhideWhenUsed="0" w:uiPriority="0" w:semiHidden="0" w:name="Body Text 2"/>
    <w:lsdException w:unhideWhenUsed="0" w:uiPriority="0" w:semiHidden="0" w:name="Body Text 3"/>
    <w:lsdException w:unhideWhenUsed="0" w:uiPriority="0" w:semiHidden="0" w:name="Body Text Indent 2"/>
    <w:lsdException w:unhideWhenUsed="0" w:uiPriority="0" w:semiHidden="0" w:name="Body Text Indent 3"/>
    <w:lsdException w:unhideWhenUsed="0" w:uiPriority="0" w:semiHidden="0" w:name="Block Text"/>
    <w:lsdException w:uiPriority="99" w:semiHidden="0" w:name="Hyperlink"/>
    <w:lsdException w:unhideWhenUsed="0" w:uiPriority="0" w:semiHidden="0" w:name="FollowedHyperlink"/>
    <w:lsdException w:qFormat="1" w:unhideWhenUsed="0" w:uiPriority="0" w:semiHidden="0" w:name="Strong"/>
    <w:lsdException w:qFormat="1" w:unhideWhenUsed="0" w:uiPriority="0" w:semiHidden="0" w:name="Emphasis"/>
    <w:lsdException w:unhideWhenUsed="0" w:uiPriority="0" w:semiHidden="0" w:name="Document Map"/>
    <w:lsdException w:unhideWhenUsed="0" w:uiPriority="0" w:semiHidden="0" w:name="Plain Text"/>
    <w:lsdException w:unhideWhenUsed="0" w:uiPriority="0" w:semiHidden="0" w:name="E-mail Signature"/>
    <w:lsdException w:unhideWhenUsed="0" w:uiPriority="0" w:semiHidden="0" w:name="Normal (Web)"/>
    <w:lsdException w:unhideWhenUsed="0" w:uiPriority="0" w:semiHidden="0" w:name="HTML Acronym"/>
    <w:lsdException w:unhideWhenUsed="0" w:uiPriority="0" w:semiHidden="0" w:name="HTML Address"/>
    <w:lsdException w:unhideWhenUsed="0" w:uiPriority="0" w:semiHidden="0" w:name="HTML Cite"/>
    <w:lsdException w:unhideWhenUsed="0" w:uiPriority="0" w:semiHidden="0" w:name="HTML Code"/>
    <w:lsdException w:unhideWhenUsed="0" w:uiPriority="0" w:semiHidden="0" w:name="HTML Definition"/>
    <w:lsdException w:unhideWhenUsed="0" w:uiPriority="0" w:semiHidden="0" w:name="HTML Keyboard"/>
    <w:lsdException w:unhideWhenUsed="0" w:uiPriority="0" w:semiHidden="0" w:name="HTML Preformatted"/>
    <w:lsdException w:unhideWhenUsed="0" w:uiPriority="0" w:semiHidden="0" w:name="HTML Sample"/>
    <w:lsdException w:unhideWhenUsed="0" w:uiPriority="0" w:semiHidden="0" w:name="HTML Typewriter"/>
    <w:lsdException w:unhideWhenUsed="0" w:uiPriority="0" w:semiHidden="0" w:name="HTML Variable"/>
    <w:lsdException w:unhideWhenUsed="0" w:uiPriority="0" w:name="Normal Table"/>
    <w:lsdException w:unhideWhenUsed="0" w:uiPriority="0" w:semiHidden="0" w:name="annotation subject"/>
    <w:lsdException w:unhideWhenUsed="0" w:uiPriority="0" w:semiHidden="0" w:name="Table Simple 1"/>
    <w:lsdException w:unhideWhenUsed="0" w:uiPriority="0" w:semiHidden="0" w:name="Table Simple 2"/>
    <w:lsdException w:unhideWhenUsed="0" w:uiPriority="0" w:semiHidden="0" w:name="Table Simple 3"/>
    <w:lsdException w:unhideWhenUsed="0" w:uiPriority="0" w:semiHidden="0" w:name="Table Classic 1"/>
    <w:lsdException w:unhideWhenUsed="0" w:uiPriority="0" w:semiHidden="0" w:name="Table Classic 2"/>
    <w:lsdException w:unhideWhenUsed="0" w:uiPriority="0" w:semiHidden="0" w:name="Table Classic 3"/>
    <w:lsdException w:unhideWhenUsed="0" w:uiPriority="0" w:semiHidden="0" w:name="Table Classic 4"/>
    <w:lsdException w:unhideWhenUsed="0" w:uiPriority="0" w:semiHidden="0" w:name="Table Colorful 1"/>
    <w:lsdException w:unhideWhenUsed="0" w:uiPriority="0" w:semiHidden="0" w:name="Table Colorful 2"/>
    <w:lsdException w:unhideWhenUsed="0" w:uiPriority="0" w:semiHidden="0" w:name="Table Colorful 3"/>
    <w:lsdException w:unhideWhenUsed="0" w:uiPriority="0" w:semiHidden="0" w:name="Table Columns 1"/>
    <w:lsdException w:unhideWhenUsed="0" w:uiPriority="0" w:semiHidden="0" w:name="Table Columns 2"/>
    <w:lsdException w:unhideWhenUsed="0" w:uiPriority="0" w:semiHidden="0" w:name="Table Columns 3"/>
    <w:lsdException w:unhideWhenUsed="0" w:uiPriority="0" w:semiHidden="0" w:name="Table Columns 4"/>
    <w:lsdException w:unhideWhenUsed="0" w:uiPriority="0" w:semiHidden="0" w:name="Table Columns 5"/>
    <w:lsdException w:unhideWhenUsed="0" w:uiPriority="0" w:semiHidden="0" w:name="Table Grid 1"/>
    <w:lsdException w:unhideWhenUsed="0" w:uiPriority="0" w:semiHidden="0" w:name="Table Grid 2"/>
    <w:lsdException w:unhideWhenUsed="0" w:uiPriority="0" w:semiHidden="0" w:name="Table Grid 3"/>
    <w:lsdException w:unhideWhenUsed="0" w:uiPriority="0" w:semiHidden="0" w:name="Table Grid 4"/>
    <w:lsdException w:unhideWhenUsed="0" w:uiPriority="0" w:semiHidden="0" w:name="Table Grid 5"/>
    <w:lsdException w:unhideWhenUsed="0" w:uiPriority="0" w:semiHidden="0" w:name="Table Grid 6"/>
    <w:lsdException w:unhideWhenUsed="0" w:uiPriority="0" w:semiHidden="0" w:name="Table Grid 7"/>
    <w:lsdException w:unhideWhenUsed="0" w:uiPriority="0" w:semiHidden="0" w:name="Table Grid 8"/>
    <w:lsdException w:unhideWhenUsed="0" w:uiPriority="0" w:semiHidden="0" w:name="Table List 1"/>
    <w:lsdException w:unhideWhenUsed="0" w:uiPriority="0" w:semiHidden="0" w:name="Table List 2"/>
    <w:lsdException w:unhideWhenUsed="0" w:uiPriority="0" w:semiHidden="0" w:name="Table List 3"/>
    <w:lsdException w:unhideWhenUsed="0" w:uiPriority="0" w:semiHidden="0" w:name="Table List 4"/>
    <w:lsdException w:unhideWhenUsed="0" w:uiPriority="0" w:semiHidden="0" w:name="Table List 5"/>
    <w:lsdException w:unhideWhenUsed="0" w:uiPriority="0" w:semiHidden="0" w:name="Table List 6"/>
    <w:lsdException w:unhideWhenUsed="0" w:uiPriority="0" w:semiHidden="0" w:name="Table List 7"/>
    <w:lsdException w:unhideWhenUsed="0" w:uiPriority="0" w:semiHidden="0" w:name="Table List 8"/>
    <w:lsdException w:unhideWhenUsed="0" w:uiPriority="0" w:semiHidden="0" w:name="Table 3D effects 1"/>
    <w:lsdException w:unhideWhenUsed="0" w:uiPriority="0" w:semiHidden="0" w:name="Table 3D effects 2"/>
    <w:lsdException w:unhideWhenUsed="0" w:uiPriority="0" w:semiHidden="0" w:name="Table 3D effects 3"/>
    <w:lsdException w:unhideWhenUsed="0" w:uiPriority="0" w:semiHidden="0" w:name="Table Contemporary"/>
    <w:lsdException w:unhideWhenUsed="0" w:uiPriority="0" w:semiHidden="0" w:name="Table Elegant"/>
    <w:lsdException w:unhideWhenUsed="0" w:uiPriority="0" w:semiHidden="0" w:name="Table Professional"/>
    <w:lsdException w:unhideWhenUsed="0" w:uiPriority="0" w:semiHidden="0" w:name="Table Subtle 1"/>
    <w:lsdException w:unhideWhenUsed="0" w:uiPriority="0" w:semiHidden="0" w:name="Table Subtle 2"/>
    <w:lsdException w:unhideWhenUsed="0" w:uiPriority="0" w:semiHidden="0" w:name="Table Web 1"/>
    <w:lsdException w:unhideWhenUsed="0" w:uiPriority="0" w:semiHidden="0" w:name="Table Web 2"/>
    <w:lsdException w:unhideWhenUsed="0" w:uiPriority="0" w:semiHidden="0" w:name="Table Web 3"/>
    <w:lsdException w:unhideWhenUsed="0" w:uiPriority="0" w:semiHidden="0" w:name="Balloon Text"/>
    <w:lsdException w:unhideWhenUsed="0" w:uiPriority="0" w:semiHidden="0" w:name="Table Grid"/>
    <w:lsdException w:unhideWhenUsed="0" w:uiPriority="0" w:semiHidden="0" w:name="Table Theme"/>
    <w:lsdException w:unhideWhenUsed="0" w:uiPriority="60" w:semiHidden="0" w:name="Light Shading"/>
    <w:lsdException w:unhideWhenUsed="0" w:uiPriority="61" w:semiHidden="0" w:name="Light List"/>
    <w:lsdException w:unhideWhenUsed="0" w:uiPriority="62" w:semiHidden="0" w:name="Light Grid"/>
    <w:lsdException w:unhideWhenUsed="0" w:uiPriority="63" w:semiHidden="0" w:name="Medium Shading 1"/>
    <w:lsdException w:unhideWhenUsed="0" w:uiPriority="64" w:semiHidden="0" w:name="Medium Shading 2"/>
    <w:lsdException w:unhideWhenUsed="0" w:uiPriority="65" w:semiHidden="0" w:name="Medium List 1"/>
    <w:lsdException w:unhideWhenUsed="0" w:uiPriority="66" w:semiHidden="0" w:name="Medium List 2"/>
    <w:lsdException w:unhideWhenUsed="0" w:uiPriority="67" w:semiHidden="0" w:name="Medium Grid 1"/>
    <w:lsdException w:unhideWhenUsed="0" w:uiPriority="68" w:semiHidden="0" w:name="Medium Grid 2"/>
    <w:lsdException w:unhideWhenUsed="0" w:uiPriority="69" w:semiHidden="0" w:name="Medium Grid 3"/>
    <w:lsdException w:unhideWhenUsed="0" w:uiPriority="70" w:semiHidden="0" w:name="Dark List"/>
    <w:lsdException w:unhideWhenUsed="0" w:uiPriority="71" w:semiHidden="0" w:name="Colorful Shading"/>
    <w:lsdException w:unhideWhenUsed="0" w:uiPriority="72" w:semiHidden="0" w:name="Colorful List"/>
    <w:lsdException w:unhideWhenUsed="0" w:uiPriority="73" w:semiHidden="0" w:name="Colorful Grid"/>
    <w:lsdException w:unhideWhenUsed="0" w:uiPriority="60" w:semiHidden="0" w:name="Light Shading Accent 1"/>
    <w:lsdException w:unhideWhenUsed="0" w:uiPriority="61" w:semiHidden="0" w:name="Light List Accent 1"/>
    <w:lsdException w:unhideWhenUsed="0" w:uiPriority="62" w:semiHidden="0" w:name="Light Grid Accent 1"/>
    <w:lsdException w:unhideWhenUsed="0" w:uiPriority="63" w:semiHidden="0" w:name="Medium Shading 1 Accent 1"/>
    <w:lsdException w:unhideWhenUsed="0" w:uiPriority="64" w:semiHidden="0" w:name="Medium Shading 2 Accent 1"/>
    <w:lsdException w:unhideWhenUsed="0" w:uiPriority="65" w:semiHidden="0" w:name="Medium List 1 Accent 1"/>
    <w:lsdException w:qFormat="1" w:unhideWhenUsed="0" w:uiPriority="0" w:semiHidden="0" w:name="List Paragraph"/>
    <w:lsdException w:unhideWhenUsed="0" w:uiPriority="66" w:semiHidden="0" w:name="Medium List 2 Accent 1"/>
    <w:lsdException w:unhideWhenUsed="0" w:uiPriority="67" w:semiHidden="0" w:name="Medium Grid 1 Accent 1"/>
    <w:lsdException w:unhideWhenUsed="0" w:uiPriority="68" w:semiHidden="0" w:name="Medium Grid 2 Accent 1"/>
    <w:lsdException w:unhideWhenUsed="0" w:uiPriority="69" w:semiHidden="0" w:name="Medium Grid 3 Accent 1"/>
    <w:lsdException w:unhideWhenUsed="0" w:uiPriority="70" w:semiHidden="0" w:name="Dark List Accent 1"/>
    <w:lsdException w:unhideWhenUsed="0" w:uiPriority="71" w:semiHidden="0" w:name="Colorful Shading Accent 1"/>
    <w:lsdException w:unhideWhenUsed="0" w:uiPriority="72" w:semiHidden="0" w:name="Colorful List Accent 1"/>
    <w:lsdException w:unhideWhenUsed="0" w:uiPriority="73" w:semiHidden="0" w:name="Colorful Grid Accent 1"/>
    <w:lsdException w:unhideWhenUsed="0" w:uiPriority="60" w:semiHidden="0" w:name="Light Shading Accent 2"/>
    <w:lsdException w:unhideWhenUsed="0" w:uiPriority="61" w:semiHidden="0" w:name="Light List Accent 2"/>
    <w:lsdException w:unhideWhenUsed="0" w:uiPriority="62" w:semiHidden="0" w:name="Light Grid Accent 2"/>
    <w:lsdException w:unhideWhenUsed="0" w:uiPriority="63" w:semiHidden="0" w:name="Medium Shading 1 Accent 2"/>
    <w:lsdException w:unhideWhenUsed="0" w:uiPriority="64" w:semiHidden="0" w:name="Medium Shading 2 Accent 2"/>
    <w:lsdException w:unhideWhenUsed="0" w:uiPriority="65" w:semiHidden="0" w:name="Medium List 1 Accent 2"/>
    <w:lsdException w:unhideWhenUsed="0" w:uiPriority="66" w:semiHidden="0" w:name="Medium List 2 Accent 2"/>
    <w:lsdException w:unhideWhenUsed="0" w:uiPriority="67" w:semiHidden="0" w:name="Medium Grid 1 Accent 2"/>
    <w:lsdException w:unhideWhenUsed="0" w:uiPriority="68" w:semiHidden="0" w:name="Medium Grid 2 Accent 2"/>
    <w:lsdException w:unhideWhenUsed="0" w:uiPriority="69" w:semiHidden="0" w:name="Medium Grid 3 Accent 2"/>
    <w:lsdException w:unhideWhenUsed="0" w:uiPriority="70" w:semiHidden="0" w:name="Dark List Accent 2"/>
    <w:lsdException w:unhideWhenUsed="0" w:uiPriority="71" w:semiHidden="0" w:name="Colorful Shading Accent 2"/>
    <w:lsdException w:unhideWhenUsed="0" w:uiPriority="72" w:semiHidden="0" w:name="Colorful List Accent 2"/>
    <w:lsdException w:unhideWhenUsed="0" w:uiPriority="73" w:semiHidden="0" w:name="Colorful Grid Accent 2"/>
    <w:lsdException w:unhideWhenUsed="0" w:uiPriority="60" w:semiHidden="0" w:name="Light Shading Accent 3"/>
    <w:lsdException w:unhideWhenUsed="0" w:uiPriority="61" w:semiHidden="0" w:name="Light List Accent 3"/>
    <w:lsdException w:unhideWhenUsed="0" w:uiPriority="62" w:semiHidden="0" w:name="Light Grid Accent 3"/>
    <w:lsdException w:unhideWhenUsed="0" w:uiPriority="63" w:semiHidden="0" w:name="Medium Shading 1 Accent 3"/>
    <w:lsdException w:unhideWhenUsed="0" w:uiPriority="64" w:semiHidden="0" w:name="Medium Shading 2 Accent 3"/>
    <w:lsdException w:unhideWhenUsed="0" w:uiPriority="65" w:semiHidden="0" w:name="Medium List 1 Accent 3"/>
    <w:lsdException w:unhideWhenUsed="0" w:uiPriority="66" w:semiHidden="0" w:name="Medium List 2 Accent 3"/>
    <w:lsdException w:unhideWhenUsed="0" w:uiPriority="67" w:semiHidden="0" w:name="Medium Grid 1 Accent 3"/>
    <w:lsdException w:unhideWhenUsed="0" w:uiPriority="68" w:semiHidden="0" w:name="Medium Grid 2 Accent 3"/>
    <w:lsdException w:unhideWhenUsed="0" w:uiPriority="69" w:semiHidden="0" w:name="Medium Grid 3 Accent 3"/>
    <w:lsdException w:unhideWhenUsed="0" w:uiPriority="70" w:semiHidden="0" w:name="Dark List Accent 3"/>
    <w:lsdException w:unhideWhenUsed="0" w:uiPriority="71" w:semiHidden="0" w:name="Colorful Shading Accent 3"/>
    <w:lsdException w:unhideWhenUsed="0" w:uiPriority="72" w:semiHidden="0" w:name="Colorful List Accent 3"/>
    <w:lsdException w:unhideWhenUsed="0" w:uiPriority="73" w:semiHidden="0" w:name="Colorful Grid Accent 3"/>
    <w:lsdException w:unhideWhenUsed="0" w:uiPriority="60" w:semiHidden="0" w:name="Light Shading Accent 4"/>
    <w:lsdException w:unhideWhenUsed="0" w:uiPriority="61" w:semiHidden="0" w:name="Light List Accent 4"/>
    <w:lsdException w:unhideWhenUsed="0" w:uiPriority="62" w:semiHidden="0" w:name="Light Grid Accent 4"/>
    <w:lsdException w:unhideWhenUsed="0" w:uiPriority="63" w:semiHidden="0" w:name="Medium Shading 1 Accent 4"/>
    <w:lsdException w:unhideWhenUsed="0" w:uiPriority="64" w:semiHidden="0" w:name="Medium Shading 2 Accent 4"/>
    <w:lsdException w:unhideWhenUsed="0" w:uiPriority="65" w:semiHidden="0" w:name="Medium List 1 Accent 4"/>
    <w:lsdException w:unhideWhenUsed="0" w:uiPriority="66" w:semiHidden="0" w:name="Medium List 2 Accent 4"/>
    <w:lsdException w:unhideWhenUsed="0" w:uiPriority="67" w:semiHidden="0" w:name="Medium Grid 1 Accent 4"/>
    <w:lsdException w:unhideWhenUsed="0" w:uiPriority="68" w:semiHidden="0" w:name="Medium Grid 2 Accent 4"/>
    <w:lsdException w:unhideWhenUsed="0" w:uiPriority="69" w:semiHidden="0" w:name="Medium Grid 3 Accent 4"/>
    <w:lsdException w:unhideWhenUsed="0" w:uiPriority="70" w:semiHidden="0" w:name="Dark List Accent 4"/>
    <w:lsdException w:unhideWhenUsed="0" w:uiPriority="71" w:semiHidden="0" w:name="Colorful Shading Accent 4"/>
    <w:lsdException w:unhideWhenUsed="0" w:uiPriority="72" w:semiHidden="0" w:name="Colorful List Accent 4"/>
    <w:lsdException w:unhideWhenUsed="0" w:uiPriority="73" w:semiHidden="0" w:name="Colorful Grid Accent 4"/>
    <w:lsdException w:unhideWhenUsed="0" w:uiPriority="60" w:semiHidden="0" w:name="Light Shading Accent 5"/>
    <w:lsdException w:unhideWhenUsed="0" w:uiPriority="61" w:semiHidden="0" w:name="Light List Accent 5"/>
    <w:lsdException w:unhideWhenUsed="0" w:uiPriority="62" w:semiHidden="0" w:name="Light Grid Accent 5"/>
    <w:lsdException w:unhideWhenUsed="0" w:uiPriority="63" w:semiHidden="0" w:name="Medium Shading 1 Accent 5"/>
    <w:lsdException w:unhideWhenUsed="0" w:uiPriority="64" w:semiHidden="0" w:name="Medium Shading 2 Accent 5"/>
    <w:lsdException w:unhideWhenUsed="0" w:uiPriority="65" w:semiHidden="0" w:name="Medium List 1 Accent 5"/>
    <w:lsdException w:unhideWhenUsed="0" w:uiPriority="66" w:semiHidden="0" w:name="Medium List 2 Accent 5"/>
    <w:lsdException w:unhideWhenUsed="0" w:uiPriority="67" w:semiHidden="0" w:name="Medium Grid 1 Accent 5"/>
    <w:lsdException w:unhideWhenUsed="0" w:uiPriority="68" w:semiHidden="0" w:name="Medium Grid 2 Accent 5"/>
    <w:lsdException w:unhideWhenUsed="0" w:uiPriority="69" w:semiHidden="0" w:name="Medium Grid 3 Accent 5"/>
    <w:lsdException w:unhideWhenUsed="0" w:uiPriority="70" w:semiHidden="0" w:name="Dark List Accent 5"/>
    <w:lsdException w:unhideWhenUsed="0" w:uiPriority="71" w:semiHidden="0" w:name="Colorful Shading Accent 5"/>
    <w:lsdException w:unhideWhenUsed="0" w:uiPriority="72" w:semiHidden="0" w:name="Colorful List Accent 5"/>
    <w:lsdException w:unhideWhenUsed="0" w:uiPriority="73" w:semiHidden="0" w:name="Colorful Grid Accent 5"/>
    <w:lsdException w:unhideWhenUsed="0" w:uiPriority="60" w:semiHidden="0" w:name="Light Shading Accent 6"/>
    <w:lsdException w:unhideWhenUsed="0" w:uiPriority="61" w:semiHidden="0" w:name="Light List Accent 6"/>
    <w:lsdException w:unhideWhenUsed="0" w:uiPriority="62" w:semiHidden="0" w:name="Light Grid Accent 6"/>
    <w:lsdException w:unhideWhenUsed="0" w:uiPriority="63" w:semiHidden="0" w:name="Medium Shading 1 Accent 6"/>
    <w:lsdException w:unhideWhenUsed="0" w:uiPriority="64" w:semiHidden="0" w:name="Medium Shading 2 Accent 6"/>
    <w:lsdException w:unhideWhenUsed="0" w:uiPriority="65" w:semiHidden="0" w:name="Medium List 1 Accent 6"/>
    <w:lsdException w:unhideWhenUsed="0" w:uiPriority="66" w:semiHidden="0" w:name="Medium List 2 Accent 6"/>
    <w:lsdException w:unhideWhenUsed="0" w:uiPriority="67" w:semiHidden="0" w:name="Medium Grid 1 Accent 6"/>
    <w:lsdException w:unhideWhenUsed="0" w:uiPriority="68" w:semiHidden="0" w:name="Medium Grid 2 Accent 6"/>
    <w:lsdException w:unhideWhenUsed="0" w:uiPriority="69" w:semiHidden="0" w:name="Medium Grid 3 Accent 6"/>
    <w:lsdException w:unhideWhenUsed="0" w:uiPriority="70" w:semiHidden="0" w:name="Dark List Accent 6"/>
    <w:lsdException w:unhideWhenUsed="0" w:uiPriority="71" w:semiHidden="0" w:name="Colorful Shading Accent 6"/>
    <w:lsdException w:unhideWhenUsed="0" w:uiPriority="72" w:semiHidden="0" w:name="Colorful List Accent 6"/>
    <w:lsdException w:unhideWhenUsed="0" w:uiPriority="73" w:semiHidden="0" w:name="Colorful Grid Accent 6"/>
  </w:latentStyles>
  <w:style w:type="paragraph" w:default="1" w:styleId="1">
    <w:name w:val="Normal"/>
    <w:qFormat/>
    <w:uiPriority w:val="0"/>
    <w:rPr>
      <w:rFonts w:ascii="Arial" w:hAnsi="Arial" w:eastAsia="Arial" w:cs="Arial"/>
      <w:sz w:val="20"/>
      <w:szCs w:val="20"/>
    </w:rPr>
  </w:style>
  <w:style w:type="paragraph" w:styleId="2">
    <w:name w:val="heading 1"/>
    <w:next w:val="1"/>
    <w:qFormat/>
    <w:uiPriority w:val="0"/>
    <w:pPr>
      <w:pBdr>
        <w:bottom w:val="single" w:color="028090" w:sz="6" w:space="4"/>
      </w:pBdr>
      <w:spacing w:before="360" w:after="180"/>
      <w:outlineLvl w:val="0"/>
    </w:pPr>
    <w:rPr>
      <w:rFonts w:ascii="Arial" w:hAnsi="Arial" w:eastAsia="Arial" w:cs="Arial"/>
      <w:b/>
      <w:bCs/>
      <w:color w:val="0D1B4B"/>
      <w:sz w:val="36"/>
      <w:szCs w:val="36"/>
    </w:rPr>
  </w:style>
  <w:style w:type="paragraph" w:styleId="3">
    <w:name w:val="heading 2"/>
    <w:next w:val="1"/>
    <w:qFormat/>
    <w:uiPriority w:val="0"/>
    <w:pPr>
      <w:spacing w:before="260" w:after="120"/>
      <w:outlineLvl w:val="1"/>
    </w:pPr>
    <w:rPr>
      <w:rFonts w:ascii="Arial" w:hAnsi="Arial" w:eastAsia="Arial" w:cs="Arial"/>
      <w:b/>
      <w:bCs/>
      <w:color w:val="0D1B4B"/>
      <w:sz w:val="28"/>
      <w:szCs w:val="28"/>
    </w:rPr>
  </w:style>
  <w:style w:type="paragraph" w:styleId="4">
    <w:name w:val="heading 3"/>
    <w:next w:val="1"/>
    <w:qFormat/>
    <w:uiPriority w:val="0"/>
    <w:pPr>
      <w:spacing w:before="200" w:after="80"/>
      <w:outlineLvl w:val="2"/>
    </w:pPr>
    <w:rPr>
      <w:rFonts w:ascii="Arial" w:hAnsi="Arial" w:eastAsia="Arial" w:cs="Arial"/>
      <w:b/>
      <w:bCs/>
      <w:color w:val="028090"/>
      <w:sz w:val="22"/>
      <w:szCs w:val="22"/>
    </w:rPr>
  </w:style>
  <w:style w:type="paragraph" w:styleId="5">
    <w:name w:val="heading 4"/>
    <w:next w:val="1"/>
    <w:qFormat/>
    <w:uiPriority w:val="0"/>
    <w:rPr>
      <w:rFonts w:ascii="Arial" w:hAnsi="Arial" w:eastAsia="Arial" w:cs="Arial"/>
      <w:i/>
      <w:iCs/>
      <w:color w:val="2E74B5"/>
      <w:sz w:val="20"/>
      <w:szCs w:val="20"/>
    </w:rPr>
  </w:style>
  <w:style w:type="paragraph" w:styleId="6">
    <w:name w:val="heading 5"/>
    <w:next w:val="1"/>
    <w:qFormat/>
    <w:uiPriority w:val="0"/>
    <w:rPr>
      <w:rFonts w:ascii="Arial" w:hAnsi="Arial" w:eastAsia="Arial" w:cs="Arial"/>
      <w:color w:val="2E74B5"/>
      <w:sz w:val="20"/>
      <w:szCs w:val="20"/>
    </w:rPr>
  </w:style>
  <w:style w:type="paragraph" w:styleId="7">
    <w:name w:val="heading 6"/>
    <w:next w:val="1"/>
    <w:qFormat/>
    <w:uiPriority w:val="0"/>
    <w:rPr>
      <w:rFonts w:ascii="Arial" w:hAnsi="Arial" w:eastAsia="Arial" w:cs="Arial"/>
      <w:color w:val="1F4D78"/>
      <w:sz w:val="20"/>
      <w:szCs w:val="20"/>
    </w:rPr>
  </w:style>
  <w:style w:type="character" w:default="1" w:styleId="8">
    <w:name w:val="Default Paragraph Font"/>
    <w:semiHidden/>
    <w:uiPriority w:val="0"/>
  </w:style>
  <w:style w:type="table" w:default="1" w:styleId="9">
    <w:name w:val="Normal Table"/>
    <w:semiHidden/>
    <w:uiPriority w:val="0"/>
    <w:tblPr>
      <w:tblCellMar>
        <w:top w:w="0" w:type="dxa"/>
        <w:left w:w="108" w:type="dxa"/>
        <w:bottom w:w="0" w:type="dxa"/>
        <w:right w:w="108" w:type="dxa"/>
      </w:tblCellMar>
    </w:tblPr>
  </w:style>
  <w:style w:type="character" w:styleId="10">
    <w:name w:val="endnote reference"/>
    <w:semiHidden/>
    <w:unhideWhenUsed/>
    <w:uiPriority w:val="99"/>
    <w:rPr>
      <w:vertAlign w:val="superscript"/>
    </w:rPr>
  </w:style>
  <w:style w:type="paragraph" w:styleId="11">
    <w:name w:val="endnote text"/>
    <w:link w:val="18"/>
    <w:semiHidden/>
    <w:unhideWhenUsed/>
    <w:uiPriority w:val="99"/>
    <w:pPr>
      <w:spacing w:after="0" w:line="240" w:lineRule="auto"/>
    </w:pPr>
    <w:rPr>
      <w:rFonts w:ascii="Arial" w:hAnsi="Arial" w:eastAsia="Arial" w:cs="Arial"/>
      <w:sz w:val="20"/>
      <w:szCs w:val="20"/>
    </w:rPr>
  </w:style>
  <w:style w:type="character" w:styleId="12">
    <w:name w:val="footnote reference"/>
    <w:semiHidden/>
    <w:unhideWhenUsed/>
    <w:uiPriority w:val="99"/>
    <w:rPr>
      <w:vertAlign w:val="superscript"/>
    </w:rPr>
  </w:style>
  <w:style w:type="paragraph" w:styleId="13">
    <w:name w:val="footnote text"/>
    <w:link w:val="17"/>
    <w:semiHidden/>
    <w:unhideWhenUsed/>
    <w:uiPriority w:val="99"/>
    <w:pPr>
      <w:spacing w:after="0" w:line="240" w:lineRule="auto"/>
    </w:pPr>
    <w:rPr>
      <w:rFonts w:ascii="Arial" w:hAnsi="Arial" w:eastAsia="Arial" w:cs="Arial"/>
      <w:sz w:val="20"/>
      <w:szCs w:val="20"/>
    </w:rPr>
  </w:style>
  <w:style w:type="character" w:styleId="14">
    <w:name w:val="Hyperlink"/>
    <w:unhideWhenUsed/>
    <w:uiPriority w:val="99"/>
    <w:rPr>
      <w:color w:val="0563C1"/>
      <w:u w:val="single"/>
    </w:rPr>
  </w:style>
  <w:style w:type="paragraph" w:styleId="15">
    <w:name w:val="Title"/>
    <w:qFormat/>
    <w:uiPriority w:val="0"/>
    <w:rPr>
      <w:rFonts w:ascii="Arial" w:hAnsi="Arial" w:eastAsia="Arial" w:cs="Arial"/>
      <w:sz w:val="56"/>
      <w:szCs w:val="56"/>
    </w:rPr>
  </w:style>
  <w:style w:type="paragraph" w:styleId="16">
    <w:name w:val="List Paragraph"/>
    <w:qFormat/>
    <w:uiPriority w:val="0"/>
    <w:rPr>
      <w:rFonts w:ascii="Arial" w:hAnsi="Arial" w:eastAsia="Arial" w:cs="Arial"/>
      <w:sz w:val="20"/>
      <w:szCs w:val="20"/>
    </w:rPr>
  </w:style>
  <w:style w:type="character" w:customStyle="1" w:styleId="17">
    <w:name w:val="Footnote Text Char"/>
    <w:link w:val="13"/>
    <w:semiHidden/>
    <w:unhideWhenUsed/>
    <w:uiPriority w:val="99"/>
    <w:rPr>
      <w:sz w:val="20"/>
      <w:szCs w:val="20"/>
    </w:rPr>
  </w:style>
  <w:style w:type="character" w:customStyle="1" w:styleId="18">
    <w:name w:val="Endnote Text Char"/>
    <w:link w:val="11"/>
    <w:semiHidden/>
    <w:unhideWhenUsed/>
    <w:uiPriority w:val="99"/>
    <w:rPr>
      <w:sz w:val="20"/>
      <w:szCs w:val="20"/>
    </w:rPr>
  </w:style>
</w:styles>
</file>

<file path=word/_rels/document.xml.rels><?xml version="1.0" encoding="UTF-8" standalone="yes"?>
<Relationships xmlns="http://schemas.openxmlformats.org/package/2006/relationships"><Relationship Id="rId7" Type="http://schemas.openxmlformats.org/officeDocument/2006/relationships/fontTable" Target="fontTable.xml"/><Relationship Id="rId6" Type="http://schemas.openxmlformats.org/officeDocument/2006/relationships/numbering" Target="numbering.xml"/><Relationship Id="rId5" Type="http://schemas.openxmlformats.org/officeDocument/2006/relationships/theme" Target="theme/theme1.xml"/><Relationship Id="rId4" Type="http://schemas.openxmlformats.org/officeDocument/2006/relationships/footer" Target="footer1.xml"/><Relationship Id="rId3" Type="http://schemas.openxmlformats.org/officeDocument/2006/relationships/header" Target="header1.xml"/><Relationship Id="rId2" Type="http://schemas.openxmlformats.org/officeDocument/2006/relationships/settings" Target="settings.xml"/><Relationship Id="rId1" Type="http://schemas.openxmlformats.org/officeDocument/2006/relationships/styles" Target="styles.xml"/></Relationships>
</file>

<file path=word/theme/theme1.xml><?xml version="1.0" encoding="utf-8"?>
<a:theme xmlns:a="http://schemas.openxmlformats.org/drawingml/2006/main" name="Offic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atMod val="350000"/>
                <a:shade val="99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theme>
</file>

<file path=docProps/app.xml><?xml version="1.0" encoding="utf-8"?>
<Properties xmlns="http://schemas.openxmlformats.org/officeDocument/2006/extended-properties" xmlns:vt="http://schemas.openxmlformats.org/officeDocument/2006/docPropsVTypes">
  <Pages>7</Pages>
  <TotalTime>1013</TotalTime>
  <ScaleCrop>false</ScaleCrop>
  <LinksUpToDate>false</LinksUpToDate>
  <Application>WPS Office_7.2.2.8955_F1E327BC-269C-435d-A152-05C5408002CA</Applicat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2026-06-29T00:17:50Z</dcterms:created>
  <dc:creator>Un-named</dc:creator>
  <cp:lastModifiedBy>lucky</cp:lastModifiedBy>
  <dcterms:modified xsi:type="dcterms:W3CDTF">2026-06-30T02:49:43Z</dcterms:modified>
  <cp:revision>1</cp:revision>
</cp:coreProperties>
</file>

<file path=docProps/custom.xml><?xml version="1.0" encoding="utf-8"?>
<Properties xmlns="http://schemas.openxmlformats.org/officeDocument/2006/custom-properties" xmlns:vt="http://schemas.openxmlformats.org/officeDocument/2006/docPropsVTypes">
  <property fmtid="{D5CDD505-2E9C-101B-9397-08002B2CF9AE}" pid="2" name="KSOProductBuildVer">
    <vt:lpwstr>1033-7.2.2.8955</vt:lpwstr>
  </property>
  <property fmtid="{D5CDD505-2E9C-101B-9397-08002B2CF9AE}" pid="3" name="ICV">
    <vt:lpwstr>0A38C605AE42DB6A7087416A11BE7DF4_42</vt:lpwstr>
  </property>
</Properties>
</file>