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952cb2a7e22469c2f56b76e12e6cc19951d55c0"/>
    <w:p>
      <w:pPr>
        <w:pStyle w:val="Heading1"/>
      </w:pPr>
      <w:r>
        <w:t xml:space="preserve">Predicción de Tráfico Basada en LSTM para Gestión Proactiva de Recursos en Redes 5G</w:t>
      </w:r>
    </w:p>
    <w:p>
      <w:pPr>
        <w:pStyle w:val="FirstParagraph"/>
      </w:pPr>
      <w:r>
        <w:rPr>
          <w:bCs/>
          <w:b/>
        </w:rPr>
        <w:t xml:space="preserve">Resumen</w:t>
      </w:r>
      <w:r>
        <w:t xml:space="preserve">—La gestión eficiente de recursos en redes de quinta generación (5G) constituye un desafío crítico derivado de la heterogeneidad de servicios, la alta dinámica del tráfico y los requisitos estrictos de calidad de servicio (QoS). Este artículo presenta una arquitectura LSTM avanzada con mecanismo de atención de Bahdanau y procesamiento multi-resolución en tres ramas paralelas para la predicción precisa de tráfico 5G, combinada con un marco de gestión proactiva de recursos basado en optimización robusta y estocástica. La arquitectura propuesta integra cinco capas funcionales: embedding contextual, procesamiento multi-resolución (granularidades fina/media/gruesa), fusión con atención de resolución, encoder-decoder con atención temporal, y capa de salida de predicción multi-horizonte. Los experimentos sobre los datasets Milano (Telecom Italia BigData Challenge), Shanghai Telecom y un dataset sintético 5G demuestran que el LSTM propuesto alcanza RMSE = 3.89, MAE = 2.87 y R² = 0.94 en el dataset Milano para horizonte de una hora, superando en más del 15% a GRU y LSTM sin atención, y en más del 53% a ARIMA. La gestión proactiva basada en estas predicciones reduce la tasa de bloqueo en 40.9%, la latencia promedio en 31.2%, y el consumo energético en 26.1% respecto a esquemas reactivos convencionales. Se presentan cinco algoritmos completos para entrenamiento, predicción en tiempo real con intervalos de confianza, asignación proactiva de recursos, actualización online con detección de deriva, y optimización multi-objetivo, formando un framework integral para la operación autónoma de redes 5G.</w:t>
      </w:r>
    </w:p>
    <w:p>
      <w:pPr>
        <w:pStyle w:val="BodyText"/>
      </w:pPr>
      <w:r>
        <w:rPr>
          <w:bCs/>
          <w:b/>
        </w:rPr>
        <w:t xml:space="preserve">Palabras clave</w:t>
      </w:r>
      <w:r>
        <w:t xml:space="preserve">—LSTM, Predicción de Tráfico, Redes 5G, Gestión Proactiva de Recursos, Mecanismo de Atención de Bahdanau, Arquitectura Multi-Resolución, Optimización Robusta, Network Slicing, Machine Learning, Zero Touch Network Management.</w:t>
      </w:r>
    </w:p>
    <w:p>
      <w:r>
        <w:pict>
          <v:rect style="width:0;height:1.5pt" o:hralign="center" o:hrstd="t" o:hr="t"/>
        </w:pict>
      </w:r>
    </w:p>
    <w:bookmarkStart w:id="25" w:name="i-introducción"/>
    <w:p>
      <w:pPr>
        <w:pStyle w:val="Heading2"/>
      </w:pPr>
      <w:r>
        <w:t xml:space="preserve">I. INTRODUCCIÓN</w:t>
      </w:r>
    </w:p>
    <w:bookmarkStart w:id="20" w:name="a-contexto-y-motivación-de-las-redes-5g"/>
    <w:p>
      <w:pPr>
        <w:pStyle w:val="Heading3"/>
      </w:pPr>
      <w:r>
        <w:t xml:space="preserve">A. Contexto y Motivación de las Redes 5G</w:t>
      </w:r>
    </w:p>
    <w:p>
      <w:pPr>
        <w:pStyle w:val="FirstParagraph"/>
      </w:pPr>
      <w:r>
        <w:t xml:space="preserve">La quinta generación de redes móviles (5G) representa una transformación fundamental en la infraestructura de telecomunicaciones global, concebida para soportar simultáneamente una diversidad sin precedentes de casos de uso con requisitos heterogéneos y frecuentemente conflictivos [1]–[3]. A diferencia de generaciones previas que se enfocaron principalmente en el incremento de velocidades de datos para comunicaciones humanas, 5G ha sido diseñado como una plataforma de conectividad universal que habilita la digitalización de múltiples sectores industriales, desde la manufactura avanzada hasta la telemedicina y los vehículos autónomos.</w:t>
      </w:r>
    </w:p>
    <w:p>
      <w:pPr>
        <w:pStyle w:val="BodyText"/>
      </w:pPr>
      <w:r>
        <w:t xml:space="preserve">El marco conceptual de 5G define tres categorías principales de servicios con perfiles de tráfico y requisitos de QoS fundamentalmente distintos [2], [4]–[6]. En primer lugar,</w:t>
      </w:r>
      <w:r>
        <w:t xml:space="preserve"> </w:t>
      </w:r>
      <w:r>
        <w:rPr>
          <w:iCs/>
          <w:i/>
        </w:rPr>
        <w:t xml:space="preserve">Enhanced Mobile Broadband</w:t>
      </w:r>
      <w:r>
        <w:t xml:space="preserve"> </w:t>
      </w:r>
      <w:r>
        <w:t xml:space="preserve">(eMBB) engloba servicios de banda ancha móvil mejorada orientados a aplicaciones con altísimas demandas de datos, incluyendo video 4K/8K, realidad virtual/aumentada (VR/AR) y transmisión de contenido multimedia de alta calidad, con tasas de datos de pico superiores a 20 Gbps en downlink. En segundo lugar,</w:t>
      </w:r>
      <w:r>
        <w:t xml:space="preserve"> </w:t>
      </w:r>
      <w:r>
        <w:rPr>
          <w:iCs/>
          <w:i/>
        </w:rPr>
        <w:t xml:space="preserve">Ultra-Reliable Low-Latency Communications</w:t>
      </w:r>
      <w:r>
        <w:t xml:space="preserve"> </w:t>
      </w:r>
      <w:r>
        <w:t xml:space="preserve">(URLLC) agrupa las comunicaciones ultra-confiables de baja latencia para aplicaciones de misión crítica —cirugía remota, vehículos autónomos, automatización industrial— con latencia end-to-end inferior a 1 ms y confiabilidad del 99.999% [5], [6]. En tercer lugar,</w:t>
      </w:r>
      <w:r>
        <w:t xml:space="preserve"> </w:t>
      </w:r>
      <w:r>
        <w:rPr>
          <w:iCs/>
          <w:i/>
        </w:rPr>
        <w:t xml:space="preserve">Massive Machine-Type Communications</w:t>
      </w:r>
      <w:r>
        <w:t xml:space="preserve"> </w:t>
      </w:r>
      <w:r>
        <w:t xml:space="preserve">(mMTC) cubre la conectividad masiva de dispositivos IoT, con densidades de hasta</w:t>
      </w:r>
      <w:r>
        <w:t xml:space="preserve"> </w:t>
      </w:r>
      <m:oMath>
        <m:sSup>
          <m:e>
            <m:r>
              <m:t>10</m:t>
            </m:r>
          </m:e>
          <m:sup>
            <m:r>
              <m:t>6</m:t>
            </m:r>
          </m:sup>
        </m:sSup>
      </m:oMath>
      <w:r>
        <w:t xml:space="preserve"> </w:t>
      </w:r>
      <w:r>
        <w:t xml:space="preserve">dispositivos/km², priorizando eficiencia energética y cobertura sobre velocidad.</w:t>
      </w:r>
    </w:p>
    <w:p>
      <w:pPr>
        <w:pStyle w:val="BodyText"/>
      </w:pPr>
      <w:r>
        <w:t xml:space="preserve">La coexistencia de estos tres tipos de servicio en una infraestructura física compartida se logra a través del</w:t>
      </w:r>
      <w:r>
        <w:t xml:space="preserve"> </w:t>
      </w:r>
      <w:r>
        <w:rPr>
          <w:iCs/>
          <w:i/>
        </w:rPr>
        <w:t xml:space="preserve">network slicing</w:t>
      </w:r>
      <w:r>
        <w:t xml:space="preserve"> </w:t>
      </w:r>
      <w:r>
        <w:t xml:space="preserve">[4], [38], que provisiona múltiples redes lógicas virtualizadas sobre el mismo sustrato de red. Sin embargo, el slicing intensifica los desafíos de gestión de recursos: garantizar el aislamiento entre slices mientras se maximiza la eficiencia de la infraestructura compartida demanda algoritmos de asignación de recursos sofisticados y en tiempo real.</w:t>
      </w:r>
    </w:p>
    <w:p>
      <w:pPr>
        <w:pStyle w:val="BodyText"/>
      </w:pPr>
      <w:r>
        <w:t xml:space="preserve">El tráfico en redes 5G exhibe características complejas que dificultan la gestión eficiente: variabilidad multi-escala temporal (desde ráfagas de microsegundos hasta tendencias semanales), heterogeneidad espacial con puntos calientes dinámicos, no-estacionariedad intrínseca y distribuciones de cola pesada que implican alta probabilidad de picos extremos [7], [8], [25]. Los esquemas reactivos de Gestión de Recursos Radio (RRM), que toman decisiones basadas únicamente en el estado actual observable del sistema, sufren de retraso en la respuesta a cambios de demanda, sub-utilización de recursos durante valles de tráfico y bloqueo de llamadas durante picos no anticipados. La predicción precisa de tráfico emerge entonces como habilitador clave de la gestión proactiva: al anticipar la demanda con un horizonte de 15 minutos a 1 hora, los algoritmos de RRM pueden pre-asignar recursos, pre-activar celdas y reconfigurar slices antes de que ocurran los picos, transformando fundamentalmente el paradigma operacional de la red [7], [43].</w:t>
      </w:r>
    </w:p>
    <w:bookmarkEnd w:id="20"/>
    <w:bookmarkStart w:id="21" w:name="Xbc14e54417c06fca8435e148f8a661e60d7055a"/>
    <w:p>
      <w:pPr>
        <w:pStyle w:val="Heading3"/>
      </w:pPr>
      <w:r>
        <w:t xml:space="preserve">B. Long Short-Term Memory como Tecnología Habilitadora</w:t>
      </w:r>
    </w:p>
    <w:p>
      <w:pPr>
        <w:pStyle w:val="FirstParagraph"/>
      </w:pPr>
      <w:r>
        <w:t xml:space="preserve">Las redes neuronales</w:t>
      </w:r>
      <w:r>
        <w:t xml:space="preserve"> </w:t>
      </w:r>
      <w:r>
        <w:rPr>
          <w:iCs/>
          <w:i/>
        </w:rPr>
        <w:t xml:space="preserve">Long Short-Term Memory</w:t>
      </w:r>
      <w:r>
        <w:t xml:space="preserve"> </w:t>
      </w:r>
      <w:r>
        <w:t xml:space="preserve">(LSTM), introducidas por Hochreiter y Schmidhuber en 1997 [11], emergen como una de las tecnologías más adecuadas para la predicción de tráfico 5G. Su arquitectura de compuertas multiplicativas resuelve el problema del desvanecimiento de gradientes que afecta a las RNN convencionales [12], [13], permitiendo capturar dependencias temporales de largo plazo que son críticas en tráfico 5G: periodicidades diarias (</w:t>
      </w:r>
      <w:r>
        <w:rPr>
          <w:vertAlign w:val="subscript"/>
        </w:rPr>
        <w:t xml:space="preserve">96 pasos a resolución 15 min), semanales (</w:t>
      </w:r>
      <w:r>
        <w:t xml:space="preserve">672 pasos) y patrones de eventos recurrentes [18], [19].</w:t>
      </w:r>
    </w:p>
    <w:p>
      <w:pPr>
        <w:pStyle w:val="BodyText"/>
      </w:pPr>
      <w:r>
        <w:t xml:space="preserve">La adición de mecanismos de atención [15], [31], [32] amplifica adicionalmente las capacidades predictivas: en lugar de comprimir toda la historia en un vector de contexto fijo, la atención permite que el modelo acceda dinámicamente a instantes históricos relevantes para cada paso de predicción, incrementando tanto la precisión como la interpretabilidad. El mecanismo de atención de Bahdanau [15], utilizado en este trabajo, calcula pesos de alineación aditiva que permiten identificar qué instantes del pasado son más informativos para la predicción actual —por ejemplo, el mismo slot temporal del día anterior o los minutos previos a un pico de tráfico recurrente.</w:t>
      </w:r>
    </w:p>
    <w:p>
      <w:pPr>
        <w:pStyle w:val="BodyText"/>
      </w:pPr>
      <w:r>
        <w:t xml:space="preserve">La integración de predicción LSTM con optimización robusta y estocástica para gestión proactiva de recursos representa una contribución novedosa que va más allá de la predicción pura, cerrando el ciclo entre inteligencia de tráfico y operación de red [7], [41], [43].</w:t>
      </w:r>
    </w:p>
    <w:bookmarkEnd w:id="21"/>
    <w:bookmarkStart w:id="22" w:name="Xc31ea23ef96598deb3dd3856eb7656c91fbf0c5"/>
    <w:p>
      <w:pPr>
        <w:pStyle w:val="Heading3"/>
      </w:pPr>
      <w:r>
        <w:t xml:space="preserve">C. Tabla Comparativa con el Estado del Arte</w:t>
      </w:r>
    </w:p>
    <w:p>
      <w:pPr>
        <w:pStyle w:val="FirstParagraph"/>
      </w:pPr>
      <w:r>
        <w:t xml:space="preserve">La siguiente tabla contextualiza las contribuciones de este artículo respecto a propuestas recientes en la literatura, mostrando las dimensiones técnicas que distinguen cada trabajo:</w:t>
      </w:r>
    </w:p>
    <w:p>
      <w:pPr>
        <w:pStyle w:val="BodyText"/>
      </w:pPr>
      <w:r>
        <w:rPr>
          <w:bCs/>
          <w:b/>
        </w:rPr>
        <w:t xml:space="preserve">Tabla Comparativa: Este Artículo vs. Trabajos Relacionados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Trabajo</w:t>
            </w:r>
          </w:p>
        </w:tc>
        <w:tc>
          <w:tcPr/>
          <w:p>
            <w:pPr>
              <w:pStyle w:val="Compact"/>
              <w:jc w:val="center"/>
            </w:pPr>
            <w:r>
              <w:t xml:space="preserve">Año</w:t>
            </w:r>
          </w:p>
        </w:tc>
        <w:tc>
          <w:tcPr/>
          <w:p>
            <w:pPr>
              <w:pStyle w:val="Compact"/>
              <w:jc w:val="left"/>
            </w:pPr>
            <w:r>
              <w:t xml:space="preserve">Técnica</w:t>
            </w:r>
          </w:p>
        </w:tc>
        <w:tc>
          <w:tcPr/>
          <w:p>
            <w:pPr>
              <w:pStyle w:val="Compact"/>
              <w:jc w:val="center"/>
            </w:pPr>
            <w:r>
              <w:t xml:space="preserve">Dataset</w:t>
            </w:r>
          </w:p>
        </w:tc>
        <w:tc>
          <w:tcPr/>
          <w:p>
            <w:pPr>
              <w:pStyle w:val="Compact"/>
              <w:jc w:val="center"/>
            </w:pPr>
            <w:r>
              <w:t xml:space="preserve">RMSE</w:t>
            </w:r>
          </w:p>
        </w:tc>
        <w:tc>
          <w:tcPr/>
          <w:p>
            <w:pPr>
              <w:pStyle w:val="Compact"/>
              <w:jc w:val="center"/>
            </w:pPr>
            <w:r>
              <w:t xml:space="preserve">Gestión Proactiva</w:t>
            </w:r>
          </w:p>
        </w:tc>
        <w:tc>
          <w:tcPr/>
          <w:p>
            <w:pPr>
              <w:pStyle w:val="Compact"/>
              <w:jc w:val="center"/>
            </w:pPr>
            <w:r>
              <w:t xml:space="preserve">Atención</w:t>
            </w:r>
          </w:p>
        </w:tc>
        <w:tc>
          <w:tcPr/>
          <w:p>
            <w:pPr>
              <w:pStyle w:val="Compact"/>
              <w:jc w:val="center"/>
            </w:pPr>
            <w:r>
              <w:t xml:space="preserve">Multi-res.</w:t>
            </w:r>
          </w:p>
        </w:tc>
        <w:tc>
          <w:tcPr/>
          <w:p>
            <w:pPr>
              <w:pStyle w:val="Compact"/>
              <w:jc w:val="left"/>
            </w:pPr>
            <w:r>
              <w:t xml:space="preserve">Contribuciones principales</w:t>
            </w:r>
          </w:p>
        </w:tc>
      </w:tr>
      <w:tr>
        <w:tc>
          <w:tcPr/>
          <w:p>
            <w:pPr>
              <w:pStyle w:val="Compact"/>
              <w:jc w:val="left"/>
            </w:pPr>
            <w:r>
              <w:t xml:space="preserve">Huang et al. [9]</w:t>
            </w:r>
          </w:p>
        </w:tc>
        <w:tc>
          <w:tcPr/>
          <w:p>
            <w:pPr>
              <w:pStyle w:val="Compact"/>
              <w:jc w:val="center"/>
            </w:pPr>
            <w:r>
              <w:t xml:space="preserve">2019</w:t>
            </w:r>
          </w:p>
        </w:tc>
        <w:tc>
          <w:tcPr/>
          <w:p>
            <w:pPr>
              <w:pStyle w:val="Compact"/>
              <w:jc w:val="left"/>
            </w:pPr>
            <w:r>
              <w:t xml:space="preserve">LSTM</w:t>
            </w:r>
          </w:p>
        </w:tc>
        <w:tc>
          <w:tcPr/>
          <w:p>
            <w:pPr>
              <w:pStyle w:val="Compact"/>
              <w:jc w:val="center"/>
            </w:pPr>
            <w:r>
              <w:t xml:space="preserve">Telecom</w:t>
            </w:r>
          </w:p>
        </w:tc>
        <w:tc>
          <w:tcPr/>
          <w:p>
            <w:pPr>
              <w:pStyle w:val="Compact"/>
              <w:jc w:val="center"/>
            </w:pPr>
            <w:r>
              <w:t xml:space="preserve">5.12</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Predicción básica LSTM</w:t>
            </w:r>
          </w:p>
        </w:tc>
      </w:tr>
      <w:tr>
        <w:tc>
          <w:tcPr/>
          <w:p>
            <w:pPr>
              <w:pStyle w:val="Compact"/>
              <w:jc w:val="left"/>
            </w:pPr>
            <w:r>
              <w:t xml:space="preserve">Trinh et al. [10]</w:t>
            </w:r>
          </w:p>
        </w:tc>
        <w:tc>
          <w:tcPr/>
          <w:p>
            <w:pPr>
              <w:pStyle w:val="Compact"/>
              <w:jc w:val="center"/>
            </w:pPr>
            <w:r>
              <w:t xml:space="preserve">2018</w:t>
            </w:r>
          </w:p>
        </w:tc>
        <w:tc>
          <w:tcPr/>
          <w:p>
            <w:pPr>
              <w:pStyle w:val="Compact"/>
              <w:jc w:val="left"/>
            </w:pPr>
            <w:r>
              <w:t xml:space="preserve">LSTM</w:t>
            </w:r>
          </w:p>
        </w:tc>
        <w:tc>
          <w:tcPr/>
          <w:p>
            <w:pPr>
              <w:pStyle w:val="Compact"/>
              <w:jc w:val="center"/>
            </w:pPr>
            <w:r>
              <w:t xml:space="preserve">Sintético</w:t>
            </w:r>
          </w:p>
        </w:tc>
        <w:tc>
          <w:tcPr/>
          <w:p>
            <w:pPr>
              <w:pStyle w:val="Compact"/>
              <w:jc w:val="center"/>
            </w:pPr>
            <w:r>
              <w:t xml:space="preserve">4.98</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Predicción de tráfico crudo</w:t>
            </w:r>
          </w:p>
        </w:tc>
      </w:tr>
      <w:tr>
        <w:tc>
          <w:tcPr/>
          <w:p>
            <w:pPr>
              <w:pStyle w:val="Compact"/>
              <w:jc w:val="left"/>
            </w:pPr>
            <w:r>
              <w:t xml:space="preserve">Zhang et al. [35]</w:t>
            </w:r>
          </w:p>
        </w:tc>
        <w:tc>
          <w:tcPr/>
          <w:p>
            <w:pPr>
              <w:pStyle w:val="Compact"/>
              <w:jc w:val="center"/>
            </w:pPr>
            <w:r>
              <w:t xml:space="preserve">2019</w:t>
            </w:r>
          </w:p>
        </w:tc>
        <w:tc>
          <w:tcPr/>
          <w:p>
            <w:pPr>
              <w:pStyle w:val="Compact"/>
              <w:jc w:val="left"/>
            </w:pPr>
            <w:r>
              <w:t xml:space="preserve">LSTM+GA</w:t>
            </w:r>
          </w:p>
        </w:tc>
        <w:tc>
          <w:tcPr/>
          <w:p>
            <w:pPr>
              <w:pStyle w:val="Compact"/>
              <w:jc w:val="center"/>
            </w:pPr>
            <w:r>
              <w:t xml:space="preserve">Sintético</w:t>
            </w:r>
          </w:p>
        </w:tc>
        <w:tc>
          <w:tcPr/>
          <w:p>
            <w:pPr>
              <w:pStyle w:val="Compact"/>
              <w:jc w:val="center"/>
            </w:pPr>
            <w:r>
              <w:t xml:space="preserve">4.21</w:t>
            </w:r>
          </w:p>
        </w:tc>
        <w:tc>
          <w:tcPr/>
          <w:p>
            <w:pPr>
              <w:pStyle w:val="Compact"/>
              <w:jc w:val="center"/>
            </w:pPr>
            <w:r>
              <w:t xml:space="preserve">Parcial</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Optimización genética para hiperparámetros</w:t>
            </w:r>
          </w:p>
        </w:tc>
      </w:tr>
      <w:tr>
        <w:tc>
          <w:tcPr/>
          <w:p>
            <w:pPr>
              <w:pStyle w:val="Compact"/>
              <w:jc w:val="left"/>
            </w:pPr>
            <w:r>
              <w:rPr>
                <w:bCs/>
                <w:b/>
              </w:rPr>
              <w:t xml:space="preserve">Este artículo</w:t>
            </w:r>
          </w:p>
        </w:tc>
        <w:tc>
          <w:tcPr/>
          <w:p>
            <w:pPr>
              <w:pStyle w:val="Compact"/>
              <w:jc w:val="center"/>
            </w:pPr>
            <w:r>
              <w:rPr>
                <w:bCs/>
                <w:b/>
              </w:rPr>
              <w:t xml:space="preserve">2024</w:t>
            </w:r>
          </w:p>
        </w:tc>
        <w:tc>
          <w:tcPr/>
          <w:p>
            <w:pPr>
              <w:pStyle w:val="Compact"/>
              <w:jc w:val="left"/>
            </w:pPr>
            <w:r>
              <w:rPr>
                <w:bCs/>
                <w:b/>
              </w:rPr>
              <w:t xml:space="preserve">LSTM+Atención</w:t>
            </w:r>
          </w:p>
        </w:tc>
        <w:tc>
          <w:tcPr/>
          <w:p>
            <w:pPr>
              <w:pStyle w:val="Compact"/>
              <w:jc w:val="center"/>
            </w:pPr>
            <w:r>
              <w:rPr>
                <w:bCs/>
                <w:b/>
              </w:rPr>
              <w:t xml:space="preserve">Milano, Shanghai, 5G-sint.</w:t>
            </w:r>
          </w:p>
        </w:tc>
        <w:tc>
          <w:tcPr/>
          <w:p>
            <w:pPr>
              <w:pStyle w:val="Compact"/>
              <w:jc w:val="center"/>
            </w:pPr>
            <w:r>
              <w:rPr>
                <w:bCs/>
                <w:b/>
              </w:rPr>
              <w:t xml:space="preserve">3.89</w:t>
            </w:r>
          </w:p>
        </w:tc>
        <w:tc>
          <w:tcPr/>
          <w:p>
            <w:pPr>
              <w:pStyle w:val="Compact"/>
              <w:jc w:val="center"/>
            </w:pPr>
            <w:r>
              <w:rPr>
                <w:bCs/>
                <w:b/>
              </w:rPr>
              <w:t xml:space="preserve">Sí</w:t>
            </w:r>
          </w:p>
        </w:tc>
        <w:tc>
          <w:tcPr/>
          <w:p>
            <w:pPr>
              <w:pStyle w:val="Compact"/>
              <w:jc w:val="center"/>
            </w:pPr>
            <w:r>
              <w:rPr>
                <w:bCs/>
                <w:b/>
              </w:rPr>
              <w:t xml:space="preserve">Sí</w:t>
            </w:r>
          </w:p>
        </w:tc>
        <w:tc>
          <w:tcPr/>
          <w:p>
            <w:pPr>
              <w:pStyle w:val="Compact"/>
              <w:jc w:val="center"/>
            </w:pPr>
            <w:r>
              <w:rPr>
                <w:bCs/>
                <w:b/>
              </w:rPr>
              <w:t xml:space="preserve">Sí</w:t>
            </w:r>
          </w:p>
        </w:tc>
        <w:tc>
          <w:tcPr/>
          <w:p>
            <w:pPr>
              <w:pStyle w:val="Compact"/>
              <w:jc w:val="left"/>
            </w:pPr>
            <w:r>
              <w:rPr>
                <w:bCs/>
                <w:b/>
              </w:rPr>
              <w:t xml:space="preserve">Arquitectura completa de 5 capas + gestión proactiva + 5 algoritmos</w:t>
            </w:r>
          </w:p>
        </w:tc>
      </w:tr>
    </w:tbl>
    <w:p>
      <w:pPr>
        <w:pStyle w:val="BodyText"/>
      </w:pPr>
      <w:r>
        <w:t xml:space="preserve">Los trabajos previos de Huang et al. [9] y Trinh et al. [10] demuestran la viabilidad de LSTM para predicción de tráfico móvil, pero se limitan a arquitecturas básicas sin mecanismos de atención, sin procesamiento multi-resolución, y sin integración con gestión de recursos. Zhang et al. [35] incorporan optimización genética para la selección de hiperparámetros, pero el modelo resultante carece de atención temporal y la gestión proactiva es solo parcial (ajuste manual de umbrales). El presente artículo integra todas estas capacidades en un framework coherente validado sobre múltiples datasets reales y sintéticos, con algoritmos completos directamente implementables.</w:t>
      </w:r>
    </w:p>
    <w:bookmarkEnd w:id="22"/>
    <w:bookmarkStart w:id="23" w:name="d-contribuciones-principales"/>
    <w:p>
      <w:pPr>
        <w:pStyle w:val="Heading3"/>
      </w:pPr>
      <w:r>
        <w:t xml:space="preserve">D. Contribuciones Principales</w:t>
      </w:r>
    </w:p>
    <w:p>
      <w:pPr>
        <w:pStyle w:val="FirstParagraph"/>
      </w:pPr>
      <w:r>
        <w:t xml:space="preserve">Las seis contribuciones originales de este artículo son las siguientes:</w:t>
      </w:r>
    </w:p>
    <w:p>
      <w:pPr>
        <w:pStyle w:val="BodyText"/>
      </w:pPr>
      <w:r>
        <w:rPr>
          <w:bCs/>
          <w:b/>
        </w:rPr>
        <w:t xml:space="preserve">1) Arquitectura LSTM multi-resolución con atención de Bahdanau</w:t>
      </w:r>
      <w:r>
        <w:t xml:space="preserve">: Diseño de una arquitectura de cinco capas funcionales que integra procesamiento paralelo en tres ramas BiLSTM con granularidades fina, media y gruesa, fusión mediante atención de resolución, y encoder-decoder con atención temporal de Bahdanau para predicción precisa en múltiples horizontes (15 min a 1 h).</w:t>
      </w:r>
    </w:p>
    <w:p>
      <w:pPr>
        <w:pStyle w:val="BodyText"/>
      </w:pPr>
      <w:r>
        <w:rPr>
          <w:bCs/>
          <w:b/>
        </w:rPr>
        <w:t xml:space="preserve">2) Framework de gestión proactiva de recursos 5G</w:t>
      </w:r>
      <w:r>
        <w:t xml:space="preserve">: Formulación de un marco unificado que combina predicción LSTM con optimización robusta (Ec. 32) usando conjuntos de incertidumbre elipsoidales calibrados con la varianza de predicción del modelo, y optimización estocástica con CVaR para control de riesgo, aplicado a asignación de PRBs, pre-activación de celdas y adaptación de slices.</w:t>
      </w:r>
    </w:p>
    <w:p>
      <w:pPr>
        <w:pStyle w:val="BodyText"/>
      </w:pPr>
      <w:r>
        <w:rPr>
          <w:bCs/>
          <w:b/>
        </w:rPr>
        <w:t xml:space="preserve">3) Cinco algoritmos completos paso a paso</w:t>
      </w:r>
      <w:r>
        <w:t xml:space="preserve">: Presentación detallada de los Algoritmos 1–5 cubriendo entrenamiento con regularización anti-olvido, predicción en tiempo real con intervalos de confianza conformales, asignación proactiva con verificación de factibilidad, actualización online con detección de deriva CUSUM, y optimización multi-objetivo NSGA-II adaptado.</w:t>
      </w:r>
    </w:p>
    <w:p>
      <w:pPr>
        <w:pStyle w:val="BodyText"/>
      </w:pPr>
      <w:r>
        <w:rPr>
          <w:bCs/>
          <w:b/>
        </w:rPr>
        <w:t xml:space="preserve">4) Validación multi-dataset con análisis comparativo exhaustivo</w:t>
      </w:r>
      <w:r>
        <w:t xml:space="preserve">: Evaluación sobre tres datasets de diferente naturaleza y escala geográfica, con comparación frente a nueve métodos alternativos (ARIMA, SARIMA, SVR, RF, Feedforward NN, Simple RNN, GRU y LSTM sin atención), usando cuatro métricas de evaluación estándar de la literatura [44].</w:t>
      </w:r>
    </w:p>
    <w:p>
      <w:pPr>
        <w:pStyle w:val="BodyText"/>
      </w:pPr>
      <w:r>
        <w:rPr>
          <w:bCs/>
          <w:b/>
        </w:rPr>
        <w:t xml:space="preserve">5) Análisis de interpretabilidad mediante pesos de atención</w:t>
      </w:r>
      <w:r>
        <w:t xml:space="preserve">: Visualización y análisis de los mapas de calor de atención que revelan patrones semánticos aprendidos por el modelo, incluyendo correlación de corto plazo, periodicidad diaria y anticipación de picos, incrementando la confiabilidad del sistema para despliegue en producción.</w:t>
      </w:r>
    </w:p>
    <w:p>
      <w:pPr>
        <w:pStyle w:val="BodyText"/>
      </w:pPr>
      <w:r>
        <w:rPr>
          <w:bCs/>
          <w:b/>
        </w:rPr>
        <w:t xml:space="preserve">6) Cuantificación precisa de beneficios operacionales</w:t>
      </w:r>
      <w:r>
        <w:t xml:space="preserve">: Medición de mejoras en cuatro KPIs de gestión de recursos (tasa de bloqueo, latencia, utilización de PRBs y consumo energético) que demuestran el impacto práctico de la predicción de alta calidad sobre la operación de la red 5G.</w:t>
      </w:r>
    </w:p>
    <w:bookmarkEnd w:id="23"/>
    <w:bookmarkStart w:id="24" w:name="e-organización-del-artículo"/>
    <w:p>
      <w:pPr>
        <w:pStyle w:val="Heading3"/>
      </w:pPr>
      <w:r>
        <w:t xml:space="preserve">E. Organización del Artículo</w:t>
      </w:r>
    </w:p>
    <w:p>
      <w:pPr>
        <w:pStyle w:val="FirstParagraph"/>
      </w:pPr>
      <w:r>
        <w:t xml:space="preserve">El artículo se organiza como sigue: la Sección II presenta los fundamentos teóricos de redes neuronales recurrentes, arquitectura LSTM y funciones de pérdida; la Sección III caracteriza el tráfico 5G y describe los datasets y el preprocesamiento; la Sección IV detalla la arquitectura LSTM propuesta con sus cinco capas funcionales; la Sección V describe el framework de gestión proactiva de recursos; la Sección VI presenta los cinco algoritmos completos paso a paso; la Sección VII evalúa cuantitativamente el desempeño con cuatro tablas de resultados y ocho figuras descriptivas; las Secciones VIII y IX discuten desafíos futuros y conclusiones, respectivamente.</w:t>
      </w:r>
    </w:p>
    <w:p>
      <w:r>
        <w:pict>
          <v:rect style="width:0;height:1.5pt" o:hralign="center" o:hrstd="t" o:hr="t"/>
        </w:pict>
      </w:r>
    </w:p>
    <w:bookmarkEnd w:id="24"/>
    <w:bookmarkEnd w:id="25"/>
    <w:bookmarkStart w:id="31" w:name="ii-fundamentos-teóricos"/>
    <w:p>
      <w:pPr>
        <w:pStyle w:val="Heading2"/>
      </w:pPr>
      <w:r>
        <w:t xml:space="preserve">II. FUNDAMENTOS TEÓRICOS</w:t>
      </w:r>
    </w:p>
    <w:bookmarkStart w:id="26" w:name="a-redes-neuronales-recurrentes"/>
    <w:p>
      <w:pPr>
        <w:pStyle w:val="Heading3"/>
      </w:pPr>
      <w:r>
        <w:t xml:space="preserve">A. Redes Neuronales Recurrentes</w:t>
      </w:r>
    </w:p>
    <w:p>
      <w:pPr>
        <w:pStyle w:val="FirstParagraph"/>
      </w:pPr>
      <w:r>
        <w:t xml:space="preserve">Las redes neuronales recurrentes (RNN) constituyen una clase de arquitecturas diseñadas específicamente para procesar datos secuenciales mediante conexiones recurrentes que mantienen un estado oculto temporal. Dada una secuencia de entrada</w:t>
      </w:r>
      <w:r>
        <w:t xml:space="preserve"> </w:t>
      </w:r>
      <m:oMath>
        <m:r>
          <m:rPr>
            <m:sty m:val="b"/>
          </m:rP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e>
        </m:d>
      </m:oMath>
      <w:r>
        <w:t xml:space="preserve"> </w:t>
      </w:r>
      <w:r>
        <w:t xml:space="preserve">con</w:t>
      </w:r>
      <w:r>
        <w:t xml:space="preserve"> </w:t>
      </w:r>
      <m:oMath>
        <m:sSub>
          <m:e>
            <m:r>
              <m:t>x</m:t>
            </m:r>
          </m:e>
          <m:sub>
            <m:r>
              <m:t>t</m:t>
            </m:r>
          </m:sub>
        </m:sSub>
        <m:r>
          <m:rPr>
            <m:sty m:val="p"/>
          </m:rPr>
          <m:t>∈</m:t>
        </m:r>
        <m:sSup>
          <m:e>
            <m:r>
              <m:rPr>
                <m:sty m:val="p"/>
                <m:scr m:val="double-struck"/>
              </m:rPr>
              <m:t>R</m:t>
            </m:r>
          </m:e>
          <m:sup>
            <m:sSub>
              <m:e>
                <m:r>
                  <m:t>d</m:t>
                </m:r>
              </m:e>
              <m:sub>
                <m:r>
                  <m:t>x</m:t>
                </m:r>
              </m:sub>
            </m:sSub>
          </m:sup>
        </m:sSup>
      </m:oMath>
      <w:r>
        <w:t xml:space="preserve">, la RNN actualiza su estado oculto</w:t>
      </w:r>
      <w:r>
        <w:t xml:space="preserve"> </w:t>
      </w:r>
      <m:oMath>
        <m:sSub>
          <m:e>
            <m:r>
              <m:t>h</m:t>
            </m:r>
          </m:e>
          <m:sub>
            <m:r>
              <m:t>t</m:t>
            </m:r>
          </m:sub>
        </m:sSub>
        <m:r>
          <m:rPr>
            <m:sty m:val="p"/>
          </m:rPr>
          <m:t>∈</m:t>
        </m:r>
        <m:sSup>
          <m:e>
            <m:r>
              <m:rPr>
                <m:sty m:val="p"/>
                <m:scr m:val="double-struck"/>
              </m:rPr>
              <m:t>R</m:t>
            </m:r>
          </m:e>
          <m:sup>
            <m:sSub>
              <m:e>
                <m:r>
                  <m:t>d</m:t>
                </m:r>
              </m:e>
              <m:sub>
                <m:r>
                  <m:t>h</m:t>
                </m:r>
              </m:sub>
            </m:sSub>
          </m:sup>
        </m:sSup>
      </m:oMath>
      <w:r>
        <w:t xml:space="preserve"> </w:t>
      </w:r>
      <w:r>
        <w:t xml:space="preserve">de forma recursiva:</w:t>
      </w:r>
    </w:p>
    <w:p>
      <w:pPr>
        <w:pStyle w:val="BodyText"/>
      </w:pPr>
      <m:oMathPara>
        <m:oMathParaPr>
          <m:jc m:val="center"/>
        </m:oMathParaPr>
        <m:oMath>
          <m:sSub>
            <m:e>
              <m:r>
                <m:t>h</m:t>
              </m:r>
            </m:e>
            <m:sub>
              <m:r>
                <m:t>t</m:t>
              </m:r>
            </m:sub>
          </m:sSub>
          <m:r>
            <m:rPr>
              <m:sty m:val="p"/>
            </m:rPr>
            <m:t>=</m:t>
          </m:r>
          <m:r>
            <m:t>ϕ</m:t>
          </m:r>
          <m:d>
            <m:dPr>
              <m:begChr m:val="("/>
              <m:endChr m:val=")"/>
              <m:sepChr m:val=""/>
              <m:grow/>
            </m:dPr>
            <m:e>
              <m:sSub>
                <m:e>
                  <m:r>
                    <m:t>W</m:t>
                  </m:r>
                </m:e>
                <m:sub>
                  <m:r>
                    <m:t>h</m:t>
                  </m:r>
                  <m:r>
                    <m:t>h</m:t>
                  </m:r>
                </m:sub>
              </m:sSub>
              <m:sSub>
                <m:e>
                  <m:r>
                    <m:t>h</m:t>
                  </m:r>
                </m:e>
                <m:sub>
                  <m:r>
                    <m:t>t</m:t>
                  </m:r>
                  <m:r>
                    <m:rPr>
                      <m:sty m:val="p"/>
                    </m:rPr>
                    <m:t>−</m:t>
                  </m:r>
                  <m:r>
                    <m:t>1</m:t>
                  </m:r>
                </m:sub>
              </m:sSub>
              <m:r>
                <m:rPr>
                  <m:sty m:val="p"/>
                </m:rPr>
                <m:t>+</m:t>
              </m:r>
              <m:sSub>
                <m:e>
                  <m:r>
                    <m:t>W</m:t>
                  </m:r>
                </m:e>
                <m:sub>
                  <m:r>
                    <m:t>x</m:t>
                  </m:r>
                  <m:r>
                    <m:t>h</m:t>
                  </m:r>
                </m:sub>
              </m:sSub>
              <m:sSub>
                <m:e>
                  <m:r>
                    <m:t>x</m:t>
                  </m:r>
                </m:e>
                <m:sub>
                  <m:r>
                    <m:t>t</m:t>
                  </m:r>
                </m:sub>
              </m:sSub>
              <m:r>
                <m:rPr>
                  <m:sty m:val="p"/>
                </m:rPr>
                <m:t>+</m:t>
              </m:r>
              <m:sSub>
                <m:e>
                  <m:r>
                    <m:t>b</m:t>
                  </m:r>
                </m:e>
                <m:sub>
                  <m:r>
                    <m:t>h</m:t>
                  </m:r>
                </m:sub>
              </m:sSub>
            </m:e>
          </m:d>
        </m:oMath>
      </m:oMathPara>
    </w:p>
    <w:p>
      <w:pPr>
        <w:pStyle w:val="FirstParagraph"/>
      </w:pPr>
      <w:r>
        <w:t xml:space="preserve">donde</w:t>
      </w:r>
      <w:r>
        <w:t xml:space="preserve"> </w:t>
      </w:r>
      <m:oMath>
        <m:sSub>
          <m:e>
            <m:r>
              <m:t>W</m:t>
            </m:r>
          </m:e>
          <m:sub>
            <m:r>
              <m:t>h</m:t>
            </m:r>
            <m:r>
              <m:t>h</m:t>
            </m:r>
          </m:sub>
        </m:sSub>
        <m:r>
          <m:rPr>
            <m:sty m:val="p"/>
          </m:rPr>
          <m:t>∈</m:t>
        </m:r>
        <m:sSup>
          <m:e>
            <m:r>
              <m:rPr>
                <m:sty m:val="p"/>
                <m:scr m:val="double-struck"/>
              </m:rPr>
              <m:t>R</m:t>
            </m:r>
          </m:e>
          <m:sup>
            <m:sSub>
              <m:e>
                <m:r>
                  <m:t>d</m:t>
                </m:r>
              </m:e>
              <m:sub>
                <m:r>
                  <m:t>h</m:t>
                </m:r>
              </m:sub>
            </m:sSub>
            <m:r>
              <m:rPr>
                <m:sty m:val="p"/>
              </m:rPr>
              <m:t>×</m:t>
            </m:r>
            <m:sSub>
              <m:e>
                <m:r>
                  <m:t>d</m:t>
                </m:r>
              </m:e>
              <m:sub>
                <m:r>
                  <m:t>h</m:t>
                </m:r>
              </m:sub>
            </m:sSub>
          </m:sup>
        </m:sSup>
      </m:oMath>
      <w:r>
        <w:t xml:space="preserve">,</w:t>
      </w:r>
      <w:r>
        <w:t xml:space="preserve"> </w:t>
      </w:r>
      <m:oMath>
        <m:sSub>
          <m:e>
            <m:r>
              <m:t>W</m:t>
            </m:r>
          </m:e>
          <m:sub>
            <m:r>
              <m:t>x</m:t>
            </m:r>
            <m:r>
              <m:t>h</m:t>
            </m:r>
          </m:sub>
        </m:sSub>
        <m:r>
          <m:rPr>
            <m:sty m:val="p"/>
          </m:rPr>
          <m:t>∈</m:t>
        </m:r>
        <m:sSup>
          <m:e>
            <m:r>
              <m:rPr>
                <m:sty m:val="p"/>
                <m:scr m:val="double-struck"/>
              </m:rPr>
              <m:t>R</m:t>
            </m:r>
          </m:e>
          <m:sup>
            <m:sSub>
              <m:e>
                <m:r>
                  <m:t>d</m:t>
                </m:r>
              </m:e>
              <m:sub>
                <m:r>
                  <m:t>h</m:t>
                </m:r>
              </m:sub>
            </m:sSub>
            <m:r>
              <m:rPr>
                <m:sty m:val="p"/>
              </m:rPr>
              <m:t>×</m:t>
            </m:r>
            <m:sSub>
              <m:e>
                <m:r>
                  <m:t>d</m:t>
                </m:r>
              </m:e>
              <m:sub>
                <m:r>
                  <m:t>x</m:t>
                </m:r>
              </m:sub>
            </m:sSub>
          </m:sup>
        </m:sSup>
      </m:oMath>
      <w:r>
        <w:t xml:space="preserve">,</w:t>
      </w:r>
      <w:r>
        <w:t xml:space="preserve"> </w:t>
      </w:r>
      <m:oMath>
        <m:sSub>
          <m:e>
            <m:r>
              <m:t>b</m:t>
            </m:r>
          </m:e>
          <m:sub>
            <m:r>
              <m:t>h</m:t>
            </m:r>
          </m:sub>
        </m:sSub>
        <m:r>
          <m:rPr>
            <m:sty m:val="p"/>
          </m:rPr>
          <m:t>∈</m:t>
        </m:r>
        <m:sSup>
          <m:e>
            <m:r>
              <m:rPr>
                <m:sty m:val="p"/>
                <m:scr m:val="double-struck"/>
              </m:rPr>
              <m:t>R</m:t>
            </m:r>
          </m:e>
          <m:sup>
            <m:sSub>
              <m:e>
                <m:r>
                  <m:t>d</m:t>
                </m:r>
              </m:e>
              <m:sub>
                <m:r>
                  <m:t>h</m:t>
                </m:r>
              </m:sub>
            </m:sSub>
          </m:sup>
        </m:sSup>
      </m:oMath>
      <w:r>
        <w:t xml:space="preserve">, y</w:t>
      </w:r>
      <w:r>
        <w:t xml:space="preserve"> </w:t>
      </w:r>
      <m:oMath>
        <m:r>
          <m:t>ϕ</m:t>
        </m:r>
        <m:d>
          <m:dPr>
            <m:begChr m:val="("/>
            <m:endChr m:val=")"/>
            <m:sepChr m:val=""/>
            <m:grow/>
          </m:dPr>
          <m:e>
            <m:r>
              <m:rPr>
                <m:sty m:val="p"/>
              </m:rPr>
              <m:t>⋅</m:t>
            </m:r>
          </m:e>
        </m:d>
      </m:oMath>
      <w:r>
        <w:t xml:space="preserve"> </w:t>
      </w:r>
      <w:r>
        <w:t xml:space="preserve">es la función de activación, típicamente</w:t>
      </w:r>
      <w:r>
        <w:t xml:space="preserve"> </w:t>
      </w:r>
      <m:oMath>
        <m:r>
          <m:rPr>
            <m:sty m:val="p"/>
          </m:rPr>
          <m:t>tanh</m:t>
        </m:r>
      </m:oMath>
      <w:r>
        <w:t xml:space="preserve">.</w:t>
      </w:r>
    </w:p>
    <w:p>
      <w:pPr>
        <w:pStyle w:val="BodyText"/>
      </w:pPr>
      <w:r>
        <w:t xml:space="preserve">Durante el entrenamiento por</w:t>
      </w:r>
      <w:r>
        <w:t xml:space="preserve"> </w:t>
      </w:r>
      <w:r>
        <w:rPr>
          <w:iCs/>
          <w:i/>
        </w:rPr>
        <w:t xml:space="preserve">Backpropagation Through Time</w:t>
      </w:r>
      <w:r>
        <w:t xml:space="preserve"> </w:t>
      </w:r>
      <w:r>
        <w:t xml:space="preserve">(BPTT), el gradiente de la pérdida respecto a los pesos recurrentes involucra el producto telescópico:</w:t>
      </w:r>
    </w:p>
    <w:p>
      <w:pPr>
        <w:pStyle w:val="BodyText"/>
      </w:pPr>
      <m:oMathPara>
        <m:oMathParaPr>
          <m:jc m:val="center"/>
        </m:oMathParaPr>
        <m:oMath>
          <m:f>
            <m:fPr>
              <m:type m:val="bar"/>
            </m:fPr>
            <m:num>
              <m:r>
                <m:rPr>
                  <m:sty m:val="p"/>
                </m:rPr>
                <m:t>∂</m:t>
              </m:r>
              <m:sSub>
                <m:e>
                  <m:r>
                    <m:t>h</m:t>
                  </m:r>
                </m:e>
                <m:sub>
                  <m:r>
                    <m:t>t</m:t>
                  </m:r>
                </m:sub>
              </m:sSub>
            </m:num>
            <m:den>
              <m:r>
                <m:rPr>
                  <m:sty m:val="p"/>
                </m:rPr>
                <m:t>∂</m:t>
              </m:r>
              <m:sSub>
                <m:e>
                  <m:r>
                    <m:t>h</m:t>
                  </m:r>
                </m:e>
                <m:sub>
                  <m:r>
                    <m:t>k</m:t>
                  </m:r>
                </m:sub>
              </m:sSub>
            </m:den>
          </m:f>
          <m:r>
            <m:rPr>
              <m:sty m:val="p"/>
            </m:rPr>
            <m:t>=</m:t>
          </m:r>
          <m:nary>
            <m:naryPr>
              <m:chr m:val="∏"/>
              <m:limLoc m:val="undOvr"/>
              <m:subHide m:val="0"/>
              <m:supHide m:val="0"/>
            </m:naryPr>
            <m:sub>
              <m:r>
                <m:t>i</m:t>
              </m:r>
              <m:r>
                <m:rPr>
                  <m:sty m:val="p"/>
                </m:rPr>
                <m:t>=</m:t>
              </m:r>
              <m:r>
                <m:t>k</m:t>
              </m:r>
              <m:r>
                <m:rPr>
                  <m:sty m:val="p"/>
                </m:rPr>
                <m:t>+</m:t>
              </m:r>
              <m:r>
                <m:t>1</m:t>
              </m:r>
            </m:sub>
            <m:sup>
              <m:r>
                <m:t>t</m:t>
              </m:r>
            </m:sup>
            <m:e>
              <m:sSubSup>
                <m:e>
                  <m:r>
                    <m:t>W</m:t>
                  </m:r>
                </m:e>
                <m:sub>
                  <m:r>
                    <m:t>h</m:t>
                  </m:r>
                  <m:r>
                    <m:t>h</m:t>
                  </m:r>
                </m:sub>
                <m:sup>
                  <m:r>
                    <m:t>T</m:t>
                  </m:r>
                </m:sup>
              </m:sSubSup>
            </m:e>
          </m:nary>
          <m:r>
            <m:rPr>
              <m:sty m:val="p"/>
            </m:rPr>
            <m:t>⋅</m:t>
          </m:r>
          <m:r>
            <m:rPr>
              <m:nor/>
              <m:sty m:val="p"/>
            </m:rPr>
            <m:t>diag</m:t>
          </m:r>
          <m:d>
            <m:dPr>
              <m:begChr m:val="("/>
              <m:endChr m:val=")"/>
              <m:sepChr m:val=""/>
              <m:grow/>
            </m:dPr>
            <m:e>
              <m:r>
                <m:t>ϕ</m:t>
              </m:r>
              <m:r>
                <m:rPr>
                  <m:sty m:val="p"/>
                </m:rPr>
                <m:t>′</m:t>
              </m:r>
              <m:d>
                <m:dPr>
                  <m:begChr m:val="("/>
                  <m:endChr m:val=")"/>
                  <m:sepChr m:val=""/>
                  <m:grow/>
                </m:dPr>
                <m:e>
                  <m:sSub>
                    <m:e>
                      <m:r>
                        <m:t>a</m:t>
                      </m:r>
                    </m:e>
                    <m:sub>
                      <m:r>
                        <m:t>i</m:t>
                      </m:r>
                    </m:sub>
                  </m:sSub>
                </m:e>
              </m:d>
            </m:e>
          </m:d>
        </m:oMath>
      </m:oMathPara>
    </w:p>
    <w:p>
      <w:pPr>
        <w:pStyle w:val="FirstParagraph"/>
      </w:pPr>
      <w:r>
        <w:t xml:space="preserve">Para dependencias de largo plazo con</w:t>
      </w:r>
      <w:r>
        <w:t xml:space="preserve"> </w:t>
      </w:r>
      <m:oMath>
        <m:d>
          <m:dPr>
            <m:begChr m:val="("/>
            <m:endChr m:val=")"/>
            <m:sepChr m:val=""/>
            <m:grow/>
          </m:dPr>
          <m:e>
            <m:r>
              <m:t>t</m:t>
            </m:r>
            <m:r>
              <m:rPr>
                <m:sty m:val="p"/>
              </m:rPr>
              <m:t>−</m:t>
            </m:r>
            <m:r>
              <m:t>k</m:t>
            </m:r>
          </m:e>
        </m:d>
      </m:oMath>
      <w:r>
        <w:t xml:space="preserve"> </w:t>
      </w:r>
      <w:r>
        <w:t xml:space="preserve">grande, este producto puede desvanecerse exponencialmente si</w:t>
      </w:r>
      <w:r>
        <w:t xml:space="preserve"> </w:t>
      </w:r>
      <m:oMath>
        <m:sSub>
          <m:e>
            <m:r>
              <m:t>σ</m:t>
            </m:r>
          </m:e>
          <m:sub>
            <m:r>
              <m:rPr>
                <m:sty m:val="p"/>
              </m:rPr>
              <m:t>max</m:t>
            </m:r>
          </m:sub>
        </m:sSub>
        <m:d>
          <m:dPr>
            <m:begChr m:val="("/>
            <m:endChr m:val=")"/>
            <m:sepChr m:val=""/>
            <m:grow/>
          </m:dPr>
          <m:e>
            <m:sSub>
              <m:e>
                <m:r>
                  <m:t>W</m:t>
                </m:r>
              </m:e>
              <m:sub>
                <m:r>
                  <m:t>h</m:t>
                </m:r>
                <m:r>
                  <m:t>h</m:t>
                </m:r>
              </m:sub>
            </m:sSub>
          </m:e>
        </m:d>
        <m:r>
          <m:rPr>
            <m:sty m:val="p"/>
          </m:rPr>
          <m:t>&lt;</m:t>
        </m:r>
        <m:r>
          <m:t>1</m:t>
        </m:r>
      </m:oMath>
      <w:r>
        <w:t xml:space="preserve">, o explotar si</w:t>
      </w:r>
      <w:r>
        <w:t xml:space="preserve"> </w:t>
      </w:r>
      <m:oMath>
        <m:sSub>
          <m:e>
            <m:r>
              <m:t>σ</m:t>
            </m:r>
          </m:e>
          <m:sub>
            <m:r>
              <m:rPr>
                <m:sty m:val="p"/>
              </m:rPr>
              <m:t>max</m:t>
            </m:r>
          </m:sub>
        </m:sSub>
        <m:d>
          <m:dPr>
            <m:begChr m:val="("/>
            <m:endChr m:val=")"/>
            <m:sepChr m:val=""/>
            <m:grow/>
          </m:dPr>
          <m:e>
            <m:sSub>
              <m:e>
                <m:r>
                  <m:t>W</m:t>
                </m:r>
              </m:e>
              <m:sub>
                <m:r>
                  <m:t>h</m:t>
                </m:r>
                <m:r>
                  <m:t>h</m:t>
                </m:r>
              </m:sub>
            </m:sSub>
          </m:e>
        </m:d>
        <m:r>
          <m:rPr>
            <m:sty m:val="p"/>
          </m:rPr>
          <m:t>&gt;</m:t>
        </m:r>
        <m:r>
          <m:t>1</m:t>
        </m:r>
      </m:oMath>
      <w:r>
        <w:t xml:space="preserve"> </w:t>
      </w:r>
      <w:r>
        <w:t xml:space="preserve">[12], [13]. En la práctica, esto limita a las RNN a dependencias de 10–20 pasos, insuficiente para tráfico 5G con periodicidades diarias (96–288 pasos según la granularidad).</w:t>
      </w:r>
    </w:p>
    <w:bookmarkEnd w:id="26"/>
    <w:bookmarkStart w:id="27" w:name="b-arquitectura-long-short-term-memory"/>
    <w:p>
      <w:pPr>
        <w:pStyle w:val="Heading3"/>
      </w:pPr>
      <w:r>
        <w:t xml:space="preserve">B. Arquitectura Long Short-Term Memory</w:t>
      </w:r>
    </w:p>
    <w:p>
      <w:pPr>
        <w:pStyle w:val="FirstParagraph"/>
      </w:pPr>
      <w:r>
        <w:t xml:space="preserve">La LSTM fue diseñada por Hochreiter y Schmidhuber [11] para superar el problema del desvanecimiento de gradientes mediante la introducción de un estado celular</w:t>
      </w:r>
      <w:r>
        <w:t xml:space="preserve"> </w:t>
      </w:r>
      <m:oMath>
        <m:sSub>
          <m:e>
            <m:r>
              <m:t>C</m:t>
            </m:r>
          </m:e>
          <m:sub>
            <m:r>
              <m:t>t</m:t>
            </m:r>
          </m:sub>
        </m:sSub>
        <m:r>
          <m:rPr>
            <m:sty m:val="p"/>
          </m:rPr>
          <m:t>∈</m:t>
        </m:r>
        <m:sSup>
          <m:e>
            <m:r>
              <m:rPr>
                <m:sty m:val="p"/>
                <m:scr m:val="double-struck"/>
              </m:rPr>
              <m:t>R</m:t>
            </m:r>
          </m:e>
          <m:sup>
            <m:sSub>
              <m:e>
                <m:r>
                  <m:t>d</m:t>
                </m:r>
              </m:e>
              <m:sub>
                <m:r>
                  <m:t>h</m:t>
                </m:r>
              </m:sub>
            </m:sSub>
          </m:sup>
        </m:sSup>
      </m:oMath>
      <w:r>
        <w:t xml:space="preserve"> </w:t>
      </w:r>
      <w:r>
        <w:t xml:space="preserve">que fluye a través del tiempo con modificaciones mínimas controladas por compuertas multiplicativas. Las ecuaciones completas de propagación hacia adelante de una celda LSTM son:</w:t>
      </w:r>
    </w:p>
    <w:p>
      <w:pPr>
        <w:pStyle w:val="BodyText"/>
      </w:pPr>
      <m:oMathPara>
        <m:oMathParaPr>
          <m:jc m:val="center"/>
        </m:oMathParaPr>
        <m:oMath>
          <m:sSub>
            <m:e>
              <m:r>
                <m:t>f</m:t>
              </m:r>
            </m:e>
            <m:sub>
              <m:r>
                <m:t>t</m:t>
              </m:r>
            </m:sub>
          </m:sSub>
          <m:r>
            <m:rPr>
              <m:sty m:val="p"/>
            </m:rPr>
            <m:t>=</m:t>
          </m:r>
          <m:r>
            <m:t>σ</m:t>
          </m:r>
          <m:d>
            <m:dPr>
              <m:begChr m:val="("/>
              <m:endChr m:val=")"/>
              <m:sepChr m:val=""/>
              <m:grow/>
            </m:dPr>
            <m:e>
              <m:sSub>
                <m:e>
                  <m:r>
                    <m:t>W</m:t>
                  </m:r>
                </m:e>
                <m:sub>
                  <m:r>
                    <m:t>f</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f</m:t>
                  </m:r>
                </m:sub>
              </m:sSub>
            </m:e>
          </m:d>
        </m:oMath>
      </m:oMathPara>
    </w:p>
    <w:p>
      <w:pPr>
        <w:pStyle w:val="FirstParagraph"/>
      </w:pPr>
      <m:oMathPara>
        <m:oMathParaPr>
          <m:jc m:val="center"/>
        </m:oMathParaPr>
        <m:oMath>
          <m:sSub>
            <m:e>
              <m:r>
                <m:t>i</m:t>
              </m:r>
            </m:e>
            <m:sub>
              <m:r>
                <m:t>t</m:t>
              </m:r>
            </m:sub>
          </m:sSub>
          <m:r>
            <m:rPr>
              <m:sty m:val="p"/>
            </m:rPr>
            <m:t>=</m:t>
          </m:r>
          <m:r>
            <m:t>σ</m:t>
          </m:r>
          <m:d>
            <m:dPr>
              <m:begChr m:val="("/>
              <m:endChr m:val=")"/>
              <m:sepChr m:val=""/>
              <m:grow/>
            </m:dPr>
            <m:e>
              <m:sSub>
                <m:e>
                  <m:r>
                    <m:t>W</m:t>
                  </m:r>
                </m:e>
                <m:sub>
                  <m:r>
                    <m:t>i</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i</m:t>
                  </m:r>
                </m:sub>
              </m:sSub>
            </m:e>
          </m:d>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d>
            <m:dPr>
              <m:begChr m:val="("/>
              <m:endChr m:val=")"/>
              <m:sepChr m:val=""/>
              <m:grow/>
            </m:dPr>
            <m:e>
              <m:sSub>
                <m:e>
                  <m:r>
                    <m:t>W</m:t>
                  </m:r>
                </m:e>
                <m:sub>
                  <m:r>
                    <m:t>C</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C</m:t>
                  </m:r>
                </m:sub>
              </m:sSub>
            </m:e>
          </m:d>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m:oMathPara>
        <m:oMathParaPr>
          <m:jc m:val="center"/>
        </m:oMathParaPr>
        <m:oMath>
          <m:sSub>
            <m:e>
              <m:r>
                <m:t>o</m:t>
              </m:r>
            </m:e>
            <m:sub>
              <m:r>
                <m:t>t</m:t>
              </m:r>
            </m:sub>
          </m:sSub>
          <m:r>
            <m:rPr>
              <m:sty m:val="p"/>
            </m:rPr>
            <m:t>=</m:t>
          </m:r>
          <m:r>
            <m:t>σ</m:t>
          </m:r>
          <m:d>
            <m:dPr>
              <m:begChr m:val="("/>
              <m:endChr m:val=")"/>
              <m:sepChr m:val=""/>
              <m:grow/>
            </m:dPr>
            <m:e>
              <m:sSub>
                <m:e>
                  <m:r>
                    <m:t>W</m:t>
                  </m:r>
                </m:e>
                <m:sub>
                  <m:r>
                    <m:t>o</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o</m:t>
                  </m:r>
                </m:sub>
              </m:sSub>
            </m:e>
          </m:d>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d>
            <m:dPr>
              <m:begChr m:val="("/>
              <m:endChr m:val=")"/>
              <m:sepChr m:val=""/>
              <m:grow/>
            </m:dPr>
            <m:e>
              <m:sSub>
                <m:e>
                  <m:r>
                    <m:t>C</m:t>
                  </m:r>
                </m:e>
                <m:sub>
                  <m:r>
                    <m:t>t</m:t>
                  </m:r>
                </m:sub>
              </m:sSub>
            </m:e>
          </m:d>
        </m:oMath>
      </m:oMathPara>
    </w:p>
    <w:p>
      <w:pPr>
        <w:pStyle w:val="FirstParagraph"/>
      </w:pPr>
      <w:r>
        <w:t xml:space="preserve">donde</w:t>
      </w:r>
      <w:r>
        <w:t xml:space="preserve"> </w:t>
      </w:r>
      <m:oMath>
        <m:r>
          <m:t>σ</m:t>
        </m:r>
        <m:d>
          <m:dPr>
            <m:begChr m:val="("/>
            <m:endChr m:val=")"/>
            <m:sepChr m:val=""/>
            <m:grow/>
          </m:dPr>
          <m:e>
            <m:r>
              <m:rPr>
                <m:sty m:val="p"/>
              </m:rPr>
              <m:t>⋅</m:t>
            </m:r>
          </m:e>
        </m:d>
      </m:oMath>
      <w:r>
        <w:t xml:space="preserve"> </w:t>
      </w:r>
      <w:r>
        <w:t xml:space="preserve">es la función sigmoide,</w:t>
      </w:r>
      <w:r>
        <w:t xml:space="preserve"> </w:t>
      </w:r>
      <m:oMath>
        <m:r>
          <m:rPr>
            <m:sty m:val="p"/>
          </m:rPr>
          <m:t>⊙</m:t>
        </m:r>
      </m:oMath>
      <w:r>
        <w:t xml:space="preserve"> </w:t>
      </w:r>
      <w:r>
        <w:t xml:space="preserve">es el producto de Hadamard,</w:t>
      </w:r>
      <w:r>
        <w:t xml:space="preserve"> </w:t>
      </w:r>
      <m:oMath>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p>
          <m:e>
            <m:r>
              <m:rPr>
                <m:sty m:val="p"/>
                <m:scr m:val="double-struck"/>
              </m:rPr>
              <m:t>R</m:t>
            </m:r>
          </m:e>
          <m:sup>
            <m:sSub>
              <m:e>
                <m:r>
                  <m:t>d</m:t>
                </m:r>
              </m:e>
              <m:sub>
                <m:r>
                  <m:t>h</m:t>
                </m:r>
              </m:sub>
            </m:sSub>
            <m:r>
              <m:rPr>
                <m:sty m:val="p"/>
              </m:rPr>
              <m:t>+</m:t>
            </m:r>
            <m:sSub>
              <m:e>
                <m:r>
                  <m:t>d</m:t>
                </m:r>
              </m:e>
              <m:sub>
                <m:r>
                  <m:t>x</m:t>
                </m:r>
              </m:sub>
            </m:sSub>
          </m:sup>
        </m:sSup>
      </m:oMath>
      <w:r>
        <w:t xml:space="preserve"> </w:t>
      </w:r>
      <w:r>
        <w:t xml:space="preserve">es la concatenación,</w:t>
      </w:r>
      <w:r>
        <w:t xml:space="preserve"> </w:t>
      </w:r>
      <m:oMath>
        <m:sSub>
          <m:e>
            <m:r>
              <m:t>f</m:t>
            </m:r>
          </m:e>
          <m:sub>
            <m:r>
              <m:t>t</m:t>
            </m:r>
          </m:sub>
        </m:sSub>
      </m:oMath>
      <w:r>
        <w:t xml:space="preserve"> </w:t>
      </w:r>
      <w:r>
        <w:t xml:space="preserve">es la</w:t>
      </w:r>
      <w:r>
        <w:t xml:space="preserve"> </w:t>
      </w:r>
      <w:r>
        <w:rPr>
          <w:iCs/>
          <w:i/>
        </w:rPr>
        <w:t xml:space="preserve">compuerta de olvido</w:t>
      </w:r>
      <w:r>
        <w:t xml:space="preserve"> </w:t>
      </w:r>
      <w:r>
        <w:t xml:space="preserve">que regula qué información de</w:t>
      </w:r>
      <w:r>
        <w:t xml:space="preserve"> </w:t>
      </w:r>
      <m:oMath>
        <m:sSub>
          <m:e>
            <m:r>
              <m:t>C</m:t>
            </m:r>
          </m:e>
          <m:sub>
            <m:r>
              <m:t>t</m:t>
            </m:r>
            <m:r>
              <m:rPr>
                <m:sty m:val="p"/>
              </m:rPr>
              <m:t>−</m:t>
            </m:r>
            <m:r>
              <m:t>1</m:t>
            </m:r>
          </m:sub>
        </m:sSub>
      </m:oMath>
      <w:r>
        <w:t xml:space="preserve"> </w:t>
      </w:r>
      <w:r>
        <w:t xml:space="preserve">se descarta,</w:t>
      </w:r>
      <w:r>
        <w:t xml:space="preserve"> </w:t>
      </w:r>
      <m:oMath>
        <m:sSub>
          <m:e>
            <m:r>
              <m:t>i</m:t>
            </m:r>
          </m:e>
          <m:sub>
            <m:r>
              <m:t>t</m:t>
            </m:r>
          </m:sub>
        </m:sSub>
      </m:oMath>
      <w:r>
        <w:t xml:space="preserve"> </w:t>
      </w:r>
      <w:r>
        <w:t xml:space="preserve">es la</w:t>
      </w:r>
      <w:r>
        <w:t xml:space="preserve"> </w:t>
      </w:r>
      <w:r>
        <w:rPr>
          <w:iCs/>
          <w:i/>
        </w:rPr>
        <w:t xml:space="preserve">compuerta de entrada</w:t>
      </w:r>
      <w:r>
        <w:t xml:space="preserve"> </w:t>
      </w:r>
      <w:r>
        <w:t xml:space="preserve">que decide qué nueva información añadir,</w:t>
      </w:r>
      <w:r>
        <w:t xml:space="preserve"> </w:t>
      </w:r>
      <m:oMath>
        <m:sSub>
          <m:e>
            <m:acc>
              <m:accPr>
                <m:chr m:val="̃"/>
              </m:accPr>
              <m:e>
                <m:r>
                  <m:t>C</m:t>
                </m:r>
              </m:e>
            </m:acc>
          </m:e>
          <m:sub>
            <m:r>
              <m:t>t</m:t>
            </m:r>
          </m:sub>
        </m:sSub>
      </m:oMath>
      <w:r>
        <w:t xml:space="preserve"> </w:t>
      </w:r>
      <w:r>
        <w:t xml:space="preserve">es el candidato a estado celular,</w:t>
      </w:r>
      <w:r>
        <w:t xml:space="preserve"> </w:t>
      </w:r>
      <m:oMath>
        <m:sSub>
          <m:e>
            <m:r>
              <m:t>o</m:t>
            </m:r>
          </m:e>
          <m:sub>
            <m:r>
              <m:t>t</m:t>
            </m:r>
          </m:sub>
        </m:sSub>
      </m:oMath>
      <w:r>
        <w:t xml:space="preserve"> </w:t>
      </w:r>
      <w:r>
        <w:t xml:space="preserve">es la</w:t>
      </w:r>
      <w:r>
        <w:t xml:space="preserve"> </w:t>
      </w:r>
      <w:r>
        <w:rPr>
          <w:iCs/>
          <w:i/>
        </w:rPr>
        <w:t xml:space="preserve">compuerta de salida</w:t>
      </w:r>
      <w:r>
        <w:t xml:space="preserve"> </w:t>
      </w:r>
      <w:r>
        <w:t xml:space="preserve">que filtra la lectura del estado celular, y</w:t>
      </w:r>
      <w:r>
        <w:t xml:space="preserve"> </w:t>
      </w:r>
      <m:oMath>
        <m:sSub>
          <m:e>
            <m:r>
              <m:t>h</m:t>
            </m:r>
          </m:e>
          <m:sub>
            <m:r>
              <m:t>t</m:t>
            </m:r>
          </m:sub>
        </m:sSub>
      </m:oMath>
      <w:r>
        <w:t xml:space="preserve"> </w:t>
      </w:r>
      <w:r>
        <w:t xml:space="preserve">es el estado oculto expuesto al exterior [18], [19].</w:t>
      </w:r>
    </w:p>
    <w:p>
      <w:pPr>
        <w:pStyle w:val="BodyText"/>
      </w:pPr>
      <w:r>
        <w:t xml:space="preserve">La clave del funcionamiento de LSTM radica en la ecuación (6): el gradiente del estado celular satisface</w:t>
      </w:r>
      <w:r>
        <w:t xml:space="preserve"> </w:t>
      </w:r>
      <m:oMath>
        <m:r>
          <m:rPr>
            <m:sty m:val="p"/>
          </m:rPr>
          <m:t>∂</m:t>
        </m:r>
        <m:sSub>
          <m:e>
            <m:r>
              <m:t>C</m:t>
            </m:r>
          </m:e>
          <m:sub>
            <m:r>
              <m:t>t</m:t>
            </m:r>
          </m:sub>
        </m:sSub>
        <m:r>
          <m:rPr>
            <m:sty m:val="p"/>
          </m:rPr>
          <m:t>/</m:t>
        </m:r>
        <m:r>
          <m:rPr>
            <m:sty m:val="p"/>
          </m:rPr>
          <m:t>∂</m:t>
        </m:r>
        <m:sSub>
          <m:e>
            <m:r>
              <m:t>C</m:t>
            </m:r>
          </m:e>
          <m:sub>
            <m:r>
              <m:t>t</m:t>
            </m:r>
            <m:r>
              <m:rPr>
                <m:sty m:val="p"/>
              </m:rPr>
              <m:t>−</m:t>
            </m:r>
            <m:r>
              <m:t>1</m:t>
            </m:r>
          </m:sub>
        </m:sSub>
        <m:r>
          <m:rPr>
            <m:sty m:val="p"/>
          </m:rPr>
          <m:t>=</m:t>
        </m:r>
        <m:sSub>
          <m:e>
            <m:r>
              <m:t>f</m:t>
            </m:r>
          </m:e>
          <m:sub>
            <m:r>
              <m:t>t</m:t>
            </m:r>
          </m:sub>
        </m:sSub>
      </m:oMath>
      <w:r>
        <w:t xml:space="preserve">, que involucra únicamente compuertas vectoriales —no multiplicaciones por matrices de peso— permitiendo un flujo de gradientes limpio [18]. La recursión hacia atrás resulta:</w:t>
      </w:r>
    </w:p>
    <w:p>
      <w:pPr>
        <w:pStyle w:val="BodyText"/>
      </w:pPr>
      <m:oMathPara>
        <m:oMathParaPr>
          <m:jc m:val="center"/>
        </m:oMathParaPr>
        <m:oMath>
          <m:f>
            <m:fPr>
              <m:type m:val="bar"/>
            </m:fPr>
            <m:num>
              <m:r>
                <m:rPr>
                  <m:sty m:val="p"/>
                </m:rPr>
                <m:t>∂</m:t>
              </m:r>
              <m:r>
                <m:rPr>
                  <m:sty m:val="p"/>
                  <m:scr m:val="script"/>
                </m:rPr>
                <m:t>L</m:t>
              </m:r>
            </m:num>
            <m:den>
              <m:r>
                <m:rPr>
                  <m:sty m:val="p"/>
                </m:rPr>
                <m:t>∂</m:t>
              </m:r>
              <m:sSub>
                <m:e>
                  <m:r>
                    <m:t>C</m:t>
                  </m:r>
                </m:e>
                <m:sub>
                  <m:r>
                    <m:t>t</m:t>
                  </m:r>
                </m:sub>
              </m:sSub>
            </m:den>
          </m:f>
          <m:r>
            <m:rPr>
              <m:sty m:val="p"/>
            </m:rPr>
            <m:t>=</m:t>
          </m:r>
          <m:f>
            <m:fPr>
              <m:type m:val="bar"/>
            </m:fPr>
            <m:num>
              <m:r>
                <m:rPr>
                  <m:sty m:val="p"/>
                </m:rPr>
                <m:t>∂</m:t>
              </m:r>
              <m:r>
                <m:rPr>
                  <m:sty m:val="p"/>
                  <m:scr m:val="script"/>
                </m:rPr>
                <m:t>L</m:t>
              </m:r>
            </m:num>
            <m:den>
              <m:r>
                <m:rPr>
                  <m:sty m:val="p"/>
                </m:rPr>
                <m:t>∂</m:t>
              </m:r>
              <m:sSub>
                <m:e>
                  <m:r>
                    <m:t>h</m:t>
                  </m:r>
                </m:e>
                <m:sub>
                  <m:r>
                    <m:t>t</m:t>
                  </m:r>
                </m:sub>
              </m:sSub>
            </m:den>
          </m:f>
          <m:r>
            <m:rPr>
              <m:sty m:val="p"/>
            </m:rPr>
            <m:t>⊙</m:t>
          </m:r>
          <m:sSub>
            <m:e>
              <m:r>
                <m:t>o</m:t>
              </m:r>
            </m:e>
            <m:sub>
              <m:r>
                <m:t>t</m:t>
              </m:r>
            </m:sub>
          </m:sSub>
          <m:r>
            <m:rPr>
              <m:sty m:val="p"/>
            </m:rPr>
            <m:t>⊙</m:t>
          </m:r>
          <m:d>
            <m:dPr>
              <m:begChr m:val="("/>
              <m:endChr m:val=")"/>
              <m:sepChr m:val=""/>
              <m:grow/>
            </m:dPr>
            <m:e>
              <m:r>
                <m:t>1</m:t>
              </m:r>
              <m:r>
                <m:rPr>
                  <m:sty m:val="p"/>
                </m:rPr>
                <m:t>−</m:t>
              </m:r>
              <m:sSup>
                <m:e>
                  <m:r>
                    <m:rPr>
                      <m:sty m:val="p"/>
                    </m:rPr>
                    <m:t>tanh</m:t>
                  </m:r>
                </m:e>
                <m:sup>
                  <m:r>
                    <m:t>2</m:t>
                  </m:r>
                </m:sup>
              </m:sSup>
              <m:d>
                <m:dPr>
                  <m:begChr m:val="("/>
                  <m:endChr m:val=")"/>
                  <m:sepChr m:val=""/>
                  <m:grow/>
                </m:dPr>
                <m:e>
                  <m:sSub>
                    <m:e>
                      <m:r>
                        <m:t>C</m:t>
                      </m:r>
                    </m:e>
                    <m:sub>
                      <m:r>
                        <m:t>t</m:t>
                      </m:r>
                    </m:sub>
                  </m:sSub>
                </m:e>
              </m:d>
            </m:e>
          </m:d>
          <m:r>
            <m:rPr>
              <m:sty m:val="p"/>
            </m:rPr>
            <m:t>+</m:t>
          </m:r>
          <m:f>
            <m:fPr>
              <m:type m:val="bar"/>
            </m:fPr>
            <m:num>
              <m:r>
                <m:rPr>
                  <m:sty m:val="p"/>
                </m:rPr>
                <m:t>∂</m:t>
              </m:r>
              <m:r>
                <m:rPr>
                  <m:sty m:val="p"/>
                  <m:scr m:val="script"/>
                </m:rPr>
                <m:t>L</m:t>
              </m:r>
            </m:num>
            <m:den>
              <m:r>
                <m:rPr>
                  <m:sty m:val="p"/>
                </m:rPr>
                <m:t>∂</m:t>
              </m:r>
              <m:sSub>
                <m:e>
                  <m:r>
                    <m:t>C</m:t>
                  </m:r>
                </m:e>
                <m:sub>
                  <m:r>
                    <m:t>t</m:t>
                  </m:r>
                  <m:r>
                    <m:rPr>
                      <m:sty m:val="p"/>
                    </m:rPr>
                    <m:t>+</m:t>
                  </m:r>
                  <m:r>
                    <m:t>1</m:t>
                  </m:r>
                </m:sub>
              </m:sSub>
            </m:den>
          </m:f>
          <m:r>
            <m:rPr>
              <m:sty m:val="p"/>
            </m:rPr>
            <m:t>⊙</m:t>
          </m:r>
          <m:sSub>
            <m:e>
              <m:r>
                <m:t>f</m:t>
              </m:r>
            </m:e>
            <m:sub>
              <m:r>
                <m:t>t</m:t>
              </m:r>
              <m:r>
                <m:rPr>
                  <m:sty m:val="p"/>
                </m:rPr>
                <m:t>+</m:t>
              </m:r>
              <m:r>
                <m:t>1</m:t>
              </m:r>
            </m:sub>
          </m:sSub>
        </m:oMath>
      </m:oMathPara>
    </w:p>
    <w:p>
      <w:pPr>
        <w:pStyle w:val="FirstParagraph"/>
      </w:pPr>
      <w:r>
        <w:t xml:space="preserve">mostrando que el gradiente puede fluir sin atenuación cuando</w:t>
      </w:r>
      <w:r>
        <w:t xml:space="preserve"> </w:t>
      </w:r>
      <m:oMath>
        <m:sSub>
          <m:e>
            <m:r>
              <m:t>f</m:t>
            </m:r>
          </m:e>
          <m:sub>
            <m:r>
              <m:t>t</m:t>
            </m:r>
            <m:r>
              <m:rPr>
                <m:sty m:val="p"/>
              </m:rPr>
              <m:t>+</m:t>
            </m:r>
            <m:r>
              <m:t>1</m:t>
            </m:r>
          </m:sub>
        </m:sSub>
        <m:r>
          <m:rPr>
            <m:sty m:val="p"/>
          </m:rPr>
          <m:t>≈</m:t>
        </m:r>
        <m:r>
          <m:t>1</m:t>
        </m:r>
      </m:oMath>
      <w:r>
        <w:t xml:space="preserve">.</w:t>
      </w:r>
    </w:p>
    <w:p>
      <w:pPr>
        <w:pStyle w:val="BodyText"/>
      </w:pPr>
      <w:r>
        <w:t xml:space="preserve">Para arquitecturas multi-capa, las conexiones residuales con normalización de capa [20], [21] mejoran adicionalmente el flujo de gradientes y la estabilidad del entrenamiento:</w:t>
      </w:r>
    </w:p>
    <w:p>
      <w:pPr>
        <w:pStyle w:val="BodyText"/>
      </w:pPr>
      <m:oMathPara>
        <m:oMathParaPr>
          <m:jc m:val="center"/>
        </m:oMathParaPr>
        <m:oMath>
          <m:sSubSup>
            <m:e>
              <m:r>
                <m:t>h</m:t>
              </m:r>
            </m:e>
            <m:sub>
              <m:r>
                <m:t>t</m:t>
              </m:r>
            </m:sub>
            <m:sup>
              <m:d>
                <m:dPr>
                  <m:begChr m:val="("/>
                  <m:endChr m:val=")"/>
                  <m:sepChr m:val=""/>
                  <m:grow/>
                </m:dPr>
                <m:e>
                  <m:r>
                    <m:t>l</m:t>
                  </m:r>
                </m:e>
              </m:d>
            </m:sup>
          </m:sSubSup>
          <m:r>
            <m:rPr>
              <m:sty m:val="p"/>
            </m:rPr>
            <m:t>=</m:t>
          </m:r>
          <m:r>
            <m:rPr>
              <m:nor/>
              <m:sty m:val="p"/>
            </m:rPr>
            <m:t>LayerNorm</m:t>
          </m:r>
          <m:r>
            <m:t>​</m:t>
          </m:r>
          <m:d>
            <m:dPr>
              <m:begChr m:val="("/>
              <m:endChr m:val=")"/>
              <m:sepChr m:val=""/>
              <m:grow/>
            </m:dPr>
            <m:e>
              <m:sSup>
                <m:e>
                  <m:r>
                    <m:rPr>
                      <m:nor/>
                      <m:sty m:val="p"/>
                    </m:rPr>
                    <m:t>LSTM</m:t>
                  </m:r>
                </m:e>
                <m:sup>
                  <m:d>
                    <m:dPr>
                      <m:begChr m:val="("/>
                      <m:endChr m:val=")"/>
                      <m:sepChr m:val=""/>
                      <m:grow/>
                    </m:dPr>
                    <m:e>
                      <m:r>
                        <m:t>l</m:t>
                      </m:r>
                    </m:e>
                  </m:d>
                </m:sup>
              </m:sSup>
              <m:d>
                <m:dPr>
                  <m:begChr m:val="("/>
                  <m:endChr m:val=")"/>
                  <m:sepChr m:val=""/>
                  <m:grow/>
                </m:dPr>
                <m:e>
                  <m:sSubSup>
                    <m:e>
                      <m:r>
                        <m:t>h</m:t>
                      </m:r>
                    </m:e>
                    <m:sub>
                      <m:r>
                        <m:t>t</m:t>
                      </m:r>
                    </m:sub>
                    <m:sup>
                      <m:d>
                        <m:dPr>
                          <m:begChr m:val="("/>
                          <m:endChr m:val=")"/>
                          <m:sepChr m:val=""/>
                          <m:grow/>
                        </m:dPr>
                        <m:e>
                          <m:r>
                            <m:t>l</m:t>
                          </m:r>
                          <m:r>
                            <m:rPr>
                              <m:sty m:val="p"/>
                            </m:rPr>
                            <m:t>−</m:t>
                          </m:r>
                          <m:r>
                            <m:t>1</m:t>
                          </m:r>
                        </m:e>
                      </m:d>
                    </m:sup>
                  </m:sSubSup>
                  <m:r>
                    <m:rPr>
                      <m:sty m:val="p"/>
                    </m:rPr>
                    <m:t>,</m:t>
                  </m:r>
                  <m:sSubSup>
                    <m:e>
                      <m:r>
                        <m:t>h</m:t>
                      </m:r>
                    </m:e>
                    <m:sub>
                      <m:r>
                        <m:t>t</m:t>
                      </m:r>
                      <m:r>
                        <m:rPr>
                          <m:sty m:val="p"/>
                        </m:rPr>
                        <m:t>−</m:t>
                      </m:r>
                      <m:r>
                        <m:t>1</m:t>
                      </m:r>
                    </m:sub>
                    <m:sup>
                      <m:d>
                        <m:dPr>
                          <m:begChr m:val="("/>
                          <m:endChr m:val=")"/>
                          <m:sepChr m:val=""/>
                          <m:grow/>
                        </m:dPr>
                        <m:e>
                          <m:r>
                            <m:t>l</m:t>
                          </m:r>
                        </m:e>
                      </m:d>
                    </m:sup>
                  </m:sSubSup>
                </m:e>
              </m:d>
              <m:r>
                <m:rPr>
                  <m:sty m:val="p"/>
                </m:rPr>
                <m:t>+</m:t>
              </m:r>
              <m:sSubSup>
                <m:e>
                  <m:r>
                    <m:t>h</m:t>
                  </m:r>
                </m:e>
                <m:sub>
                  <m:r>
                    <m:t>t</m:t>
                  </m:r>
                </m:sub>
                <m:sup>
                  <m:d>
                    <m:dPr>
                      <m:begChr m:val="("/>
                      <m:endChr m:val=")"/>
                      <m:sepChr m:val=""/>
                      <m:grow/>
                    </m:dPr>
                    <m:e>
                      <m:r>
                        <m:t>l</m:t>
                      </m:r>
                      <m:r>
                        <m:rPr>
                          <m:sty m:val="p"/>
                        </m:rPr>
                        <m:t>−</m:t>
                      </m:r>
                      <m:r>
                        <m:t>1</m:t>
                      </m:r>
                    </m:e>
                  </m:d>
                </m:sup>
              </m:sSubSup>
            </m:e>
          </m:d>
        </m:oMath>
      </m:oMathPara>
    </w:p>
    <w:p>
      <w:pPr>
        <w:pStyle w:val="FirstParagraph"/>
      </w:pPr>
      <w:r>
        <w:t xml:space="preserve">donde</w:t>
      </w:r>
      <w:r>
        <w:t xml:space="preserve"> </w:t>
      </w:r>
      <m:oMath>
        <m:r>
          <m:rPr>
            <m:nor/>
            <m:sty m:val="p"/>
          </m:rPr>
          <m:t>LayerNorm</m:t>
        </m:r>
        <m:d>
          <m:dPr>
            <m:begChr m:val="("/>
            <m:endChr m:val=")"/>
            <m:sepChr m:val=""/>
            <m:grow/>
          </m:dPr>
          <m:e>
            <m:r>
              <m:t>x</m:t>
            </m:r>
          </m:e>
        </m:d>
        <m:r>
          <m:rPr>
            <m:sty m:val="p"/>
          </m:rPr>
          <m:t>=</m:t>
        </m:r>
        <m:r>
          <m:t>γ</m:t>
        </m:r>
        <m:r>
          <m:rPr>
            <m:sty m:val="p"/>
          </m:rPr>
          <m:t>⊙</m:t>
        </m:r>
        <m:d>
          <m:dPr>
            <m:begChr m:val="("/>
            <m:endChr m:val=")"/>
            <m:sepChr m:val=""/>
            <m:grow/>
          </m:dPr>
          <m:e>
            <m:r>
              <m:t>x</m:t>
            </m:r>
            <m:r>
              <m:rPr>
                <m:sty m:val="p"/>
              </m:rPr>
              <m:t>−</m:t>
            </m:r>
            <m:r>
              <m:t>μ</m:t>
            </m:r>
          </m:e>
        </m:d>
        <m:r>
          <m:rPr>
            <m:sty m:val="p"/>
          </m:rPr>
          <m:t>/</m:t>
        </m:r>
        <m:rad>
          <m:radPr>
            <m:degHide m:val="1"/>
          </m:radPr>
          <m:deg/>
          <m:e>
            <m:sSup>
              <m:e>
                <m:r>
                  <m:t>σ</m:t>
                </m:r>
              </m:e>
              <m:sup>
                <m:r>
                  <m:t>2</m:t>
                </m:r>
              </m:sup>
            </m:sSup>
            <m:r>
              <m:rPr>
                <m:sty m:val="p"/>
              </m:rPr>
              <m:t>+</m:t>
            </m:r>
            <m:r>
              <m:t>ϵ</m:t>
            </m:r>
          </m:e>
        </m:rad>
        <m:r>
          <m:rPr>
            <m:sty m:val="p"/>
          </m:rPr>
          <m:t>+</m:t>
        </m:r>
        <m:r>
          <m:t>β</m:t>
        </m:r>
      </m:oMath>
      <w:r>
        <w:t xml:space="preserve">, con</w:t>
      </w:r>
      <w:r>
        <w:t xml:space="preserve"> </w:t>
      </w:r>
      <m:oMath>
        <m:r>
          <m:t>γ</m:t>
        </m:r>
        <m:r>
          <m:rPr>
            <m:sty m:val="p"/>
          </m:rPr>
          <m:t>,</m:t>
        </m:r>
        <m:r>
          <m:t>β</m:t>
        </m:r>
      </m:oMath>
      <w:r>
        <w:t xml:space="preserve"> </w:t>
      </w:r>
      <w:r>
        <w:t xml:space="preserve">parámetros aprendibles y</w:t>
      </w:r>
      <w:r>
        <w:t xml:space="preserve"> </w:t>
      </w:r>
      <m:oMath>
        <m:r>
          <m:t>μ</m:t>
        </m:r>
        <m:r>
          <m:rPr>
            <m:sty m:val="p"/>
          </m:rPr>
          <m:t>,</m:t>
        </m:r>
        <m:sSup>
          <m:e>
            <m:r>
              <m:t>σ</m:t>
            </m:r>
          </m:e>
          <m:sup>
            <m:r>
              <m:t>2</m:t>
            </m:r>
          </m:sup>
        </m:sSup>
      </m:oMath>
      <w:r>
        <w:t xml:space="preserve"> </w:t>
      </w:r>
      <w:r>
        <w:t xml:space="preserve">calculados sobre las características de cada muestra.</w:t>
      </w:r>
    </w:p>
    <w:bookmarkEnd w:id="27"/>
    <w:bookmarkStart w:id="28" w:name="c-lstm-bidireccional"/>
    <w:p>
      <w:pPr>
        <w:pStyle w:val="Heading3"/>
      </w:pPr>
      <w:r>
        <w:t xml:space="preserve">C. LSTM Bidireccional</w:t>
      </w:r>
    </w:p>
    <w:p>
      <w:pPr>
        <w:pStyle w:val="FirstParagraph"/>
      </w:pPr>
      <w:r>
        <w:t xml:space="preserve">Para procesamiento de ventanas históricas completas (donde los datos futuros están disponibles respecto a la ventana), el BiLSTM [22] explota contexto en ambas direcciones temporales:</w:t>
      </w:r>
    </w:p>
    <w:p>
      <w:pPr>
        <w:pStyle w:val="BodyText"/>
      </w:pPr>
      <m:oMathPara>
        <m:oMathParaPr>
          <m:jc m:val="center"/>
        </m:oMathParaPr>
        <m:oMath>
          <m:sSub>
            <m:e>
              <m:acc>
                <m:accPr>
                  <m:chr m:val="⃗"/>
                </m:accPr>
                <m:e>
                  <m:r>
                    <m:t>h</m:t>
                  </m:r>
                </m:e>
              </m:acc>
            </m:e>
            <m:sub>
              <m:r>
                <m:t>t</m:t>
              </m:r>
            </m:sub>
          </m:sSub>
          <m:r>
            <m:rPr>
              <m:sty m:val="p"/>
            </m:rPr>
            <m:t>=</m:t>
          </m:r>
          <m:sSub>
            <m:e>
              <m:r>
                <m:rPr>
                  <m:nor/>
                  <m:sty m:val="p"/>
                </m:rPr>
                <m:t>LSTM</m:t>
              </m:r>
            </m:e>
            <m:sub>
              <m:r>
                <m:rPr>
                  <m:nor/>
                  <m:sty m:val="p"/>
                </m:rPr>
                <m:t>fwd</m:t>
              </m:r>
            </m:sub>
          </m:sSub>
          <m:d>
            <m:dPr>
              <m:begChr m:val="("/>
              <m:endChr m:val=")"/>
              <m:sepChr m:val=""/>
              <m:grow/>
            </m:dPr>
            <m:e>
              <m:sSub>
                <m:e>
                  <m:r>
                    <m:t>x</m:t>
                  </m:r>
                </m:e>
                <m:sub>
                  <m:r>
                    <m:t>t</m:t>
                  </m:r>
                </m:sub>
              </m:sSub>
              <m:r>
                <m:rPr>
                  <m:sty m:val="p"/>
                </m:rPr>
                <m:t>,</m:t>
              </m:r>
              <m:sSub>
                <m:e>
                  <m:acc>
                    <m:accPr>
                      <m:chr m:val="⃗"/>
                    </m:accPr>
                    <m:e>
                      <m:r>
                        <m:t>h</m:t>
                      </m:r>
                    </m:e>
                  </m:acc>
                </m:e>
                <m:sub>
                  <m:r>
                    <m:t>t</m:t>
                  </m:r>
                  <m:r>
                    <m:rPr>
                      <m:sty m:val="p"/>
                    </m:rPr>
                    <m:t>−</m:t>
                  </m:r>
                  <m:r>
                    <m:t>1</m:t>
                  </m:r>
                </m:sub>
              </m:sSub>
            </m:e>
          </m:d>
          <m:r>
            <m:rPr>
              <m:sty m:val="p"/>
            </m:rPr>
            <m:t>,</m:t>
          </m:r>
          <m:r>
            <m:t> </m:t>
          </m:r>
          <m:sSub>
            <m:e>
              <m:acc>
                <m:accPr>
                  <m:chr m:val="⃖"/>
                </m:accPr>
                <m:e>
                  <m:r>
                    <m:t>h</m:t>
                  </m:r>
                </m:e>
              </m:acc>
            </m:e>
            <m:sub>
              <m:r>
                <m:t>t</m:t>
              </m:r>
            </m:sub>
          </m:sSub>
          <m:r>
            <m:rPr>
              <m:sty m:val="p"/>
            </m:rPr>
            <m:t>=</m:t>
          </m:r>
          <m:sSub>
            <m:e>
              <m:r>
                <m:rPr>
                  <m:nor/>
                  <m:sty m:val="p"/>
                </m:rPr>
                <m:t>LSTM</m:t>
              </m:r>
            </m:e>
            <m:sub>
              <m:r>
                <m:rPr>
                  <m:nor/>
                  <m:sty m:val="p"/>
                </m:rPr>
                <m:t>bwd</m:t>
              </m:r>
            </m:sub>
          </m:sSub>
          <m:d>
            <m:dPr>
              <m:begChr m:val="("/>
              <m:endChr m:val=")"/>
              <m:sepChr m:val=""/>
              <m:grow/>
            </m:dPr>
            <m:e>
              <m:sSub>
                <m:e>
                  <m:r>
                    <m:t>x</m:t>
                  </m:r>
                </m:e>
                <m:sub>
                  <m:r>
                    <m:t>t</m:t>
                  </m:r>
                </m:sub>
              </m:sSub>
              <m:r>
                <m:rPr>
                  <m:sty m:val="p"/>
                </m:rPr>
                <m:t>,</m:t>
              </m:r>
              <m:sSub>
                <m:e>
                  <m:acc>
                    <m:accPr>
                      <m:chr m:val="⃖"/>
                    </m:accPr>
                    <m:e>
                      <m:r>
                        <m:t>h</m:t>
                      </m:r>
                    </m:e>
                  </m:acc>
                </m:e>
                <m:sub>
                  <m:r>
                    <m:t>t</m:t>
                  </m:r>
                  <m:r>
                    <m:rPr>
                      <m:sty m:val="p"/>
                    </m:rPr>
                    <m:t>+</m:t>
                  </m:r>
                  <m:r>
                    <m:t>1</m:t>
                  </m:r>
                </m:sub>
              </m:sSub>
            </m:e>
          </m:d>
          <m:r>
            <m:rPr>
              <m:sty m:val="p"/>
            </m:rPr>
            <m:t>,</m:t>
          </m:r>
          <m:r>
            <m:t> </m:t>
          </m:r>
          <m:sSub>
            <m:e>
              <m:r>
                <m:t>h</m:t>
              </m:r>
            </m:e>
            <m:sub>
              <m:r>
                <m:t>t</m:t>
              </m:r>
            </m:sub>
          </m:sSub>
          <m:r>
            <m:rPr>
              <m:sty m:val="p"/>
            </m:rPr>
            <m:t>=</m:t>
          </m:r>
          <m:d>
            <m:dPr>
              <m:begChr m:val="["/>
              <m:endChr m:val="]"/>
              <m:sepChr m:val=""/>
              <m:grow/>
            </m:dPr>
            <m:e>
              <m:sSub>
                <m:e>
                  <m:acc>
                    <m:accPr>
                      <m:chr m:val="⃗"/>
                    </m:accPr>
                    <m:e>
                      <m:r>
                        <m:t>h</m:t>
                      </m:r>
                    </m:e>
                  </m:acc>
                </m:e>
                <m:sub>
                  <m:r>
                    <m:t>t</m:t>
                  </m:r>
                </m:sub>
              </m:sSub>
              <m:r>
                <m:rPr>
                  <m:sty m:val="p"/>
                </m:rPr>
                <m:t>;</m:t>
              </m:r>
              <m:r>
                <m:t> </m:t>
              </m:r>
              <m:sSub>
                <m:e>
                  <m:acc>
                    <m:accPr>
                      <m:chr m:val="⃖"/>
                    </m:accPr>
                    <m:e>
                      <m:r>
                        <m:t>h</m:t>
                      </m:r>
                    </m:e>
                  </m:acc>
                </m:e>
                <m:sub>
                  <m:r>
                    <m:t>t</m:t>
                  </m:r>
                </m:sub>
              </m:sSub>
            </m:e>
          </m:d>
        </m:oMath>
      </m:oMathPara>
    </w:p>
    <w:p>
      <w:pPr>
        <w:pStyle w:val="FirstParagraph"/>
      </w:pPr>
      <w:r>
        <w:t xml:space="preserve">En el contexto de la arquitectura propuesta, BiLSTM se aplica en las ramas de procesamiento multi-resolución (Capa 2), donde toda la ventana de lookback está disponible simultáneamente.</w:t>
      </w:r>
    </w:p>
    <w:bookmarkEnd w:id="28"/>
    <w:bookmarkStart w:id="29" w:name="d-funciones-de-pérdida"/>
    <w:p>
      <w:pPr>
        <w:pStyle w:val="Heading3"/>
      </w:pPr>
      <w:r>
        <w:t xml:space="preserve">D. Funciones de Pérdida</w:t>
      </w:r>
    </w:p>
    <w:p>
      <w:pPr>
        <w:pStyle w:val="FirstParagraph"/>
      </w:pPr>
      <w:r>
        <w:t xml:space="preserve">Para predicción de tráfico se emplea la función</w:t>
      </w:r>
      <w:r>
        <w:t xml:space="preserve"> </w:t>
      </w:r>
      <w:r>
        <w:rPr>
          <w:iCs/>
          <w:i/>
        </w:rPr>
        <w:t xml:space="preserve">Huber Loss</w:t>
      </w:r>
      <w:r>
        <w:t xml:space="preserve"> </w:t>
      </w:r>
      <w:r>
        <w:t xml:space="preserve">con parámetro</w:t>
      </w:r>
      <w:r>
        <w:t xml:space="preserve"> </w:t>
      </w:r>
      <m:oMath>
        <m:r>
          <m:t>δ</m:t>
        </m:r>
      </m:oMath>
      <w:r>
        <w:t xml:space="preserve">, que combina la sensibilidad cuadrática de MSE para errores pequeños con la robustez lineal de MAE ante outliers —particularmente importante dado el comportamiento de cola pesada del tráfico 5G:</w:t>
      </w:r>
    </w:p>
    <w:p>
      <w:pPr>
        <w:pStyle w:val="BodyText"/>
      </w:pPr>
      <m:oMathPara>
        <m:oMathParaPr>
          <m:jc m:val="center"/>
        </m:oMathParaPr>
        <m:oMath>
          <m:sSub>
            <m:e>
              <m:r>
                <m:rPr>
                  <m:sty m:val="p"/>
                  <m:scr m:val="script"/>
                </m:rPr>
                <m:t>L</m:t>
              </m:r>
            </m:e>
            <m:sub>
              <m:r>
                <m:rPr>
                  <m:nor/>
                  <m:sty m:val="p"/>
                </m:rPr>
                <m:t>Huber</m:t>
              </m:r>
            </m:sub>
          </m:sSub>
          <m:r>
            <m:rPr>
              <m:sty m:val="p"/>
            </m:rPr>
            <m:t>=</m:t>
          </m:r>
          <m:f>
            <m:fPr>
              <m:type m:val="bar"/>
            </m:fPr>
            <m:num>
              <m:r>
                <m:t>1</m:t>
              </m:r>
            </m:num>
            <m:den>
              <m:r>
                <m:t>T</m:t>
              </m:r>
            </m:den>
          </m:f>
          <m:nary>
            <m:naryPr>
              <m:chr m:val="∑"/>
              <m:limLoc m:val="undOvr"/>
              <m:subHide m:val="0"/>
              <m:supHide m:val="0"/>
            </m:naryPr>
            <m:sub>
              <m:r>
                <m:t>t</m:t>
              </m:r>
              <m:r>
                <m:rPr>
                  <m:sty m:val="p"/>
                </m:rPr>
                <m:t>=</m:t>
              </m:r>
              <m:r>
                <m:t>1</m:t>
              </m:r>
            </m:sub>
            <m:sup>
              <m:r>
                <m:t>T</m:t>
              </m:r>
            </m:sup>
            <m:e>
              <m:sSub>
                <m:e>
                  <m:r>
                    <m:t>L</m:t>
                  </m:r>
                </m:e>
                <m:sub>
                  <m:r>
                    <m:t>δ</m:t>
                  </m:r>
                </m:sub>
              </m:sSub>
            </m:e>
          </m:nary>
          <m:d>
            <m:dPr>
              <m:begChr m:val="("/>
              <m:endChr m:val=")"/>
              <m:sepChr m:val=""/>
              <m:grow/>
            </m:dPr>
            <m:e>
              <m:sSub>
                <m:e>
                  <m:r>
                    <m:t>y</m:t>
                  </m:r>
                </m:e>
                <m:sub>
                  <m:r>
                    <m:t>t</m:t>
                  </m:r>
                </m:sub>
              </m:sSub>
              <m:r>
                <m:rPr>
                  <m:sty m:val="p"/>
                </m:rPr>
                <m:t>−</m:t>
              </m:r>
              <m:sSub>
                <m:e>
                  <m:acc>
                    <m:accPr>
                      <m:chr m:val="̂"/>
                    </m:accPr>
                    <m:e>
                      <m:r>
                        <m:t>y</m:t>
                      </m:r>
                    </m:e>
                  </m:acc>
                </m:e>
                <m:sub>
                  <m:r>
                    <m:t>t</m:t>
                  </m:r>
                </m:sub>
              </m:sSub>
            </m:e>
          </m:d>
          <m:r>
            <m:rPr>
              <m:sty m:val="p"/>
            </m:rPr>
            <m:t>,</m:t>
          </m:r>
          <m:r>
            <m:t> </m:t>
          </m:r>
          <m:sSub>
            <m:e>
              <m:r>
                <m:t>L</m:t>
              </m:r>
            </m:e>
            <m:sub>
              <m:r>
                <m:t>δ</m:t>
              </m:r>
            </m:sub>
          </m:sSub>
          <m:d>
            <m:dPr>
              <m:begChr m:val="("/>
              <m:endChr m:val=")"/>
              <m:sepChr m:val=""/>
              <m:grow/>
            </m:dPr>
            <m:e>
              <m:r>
                <m:t>a</m:t>
              </m:r>
            </m:e>
          </m:d>
          <m:r>
            <m:rPr>
              <m:sty m:val="p"/>
            </m:rPr>
            <m:t>=</m:t>
          </m:r>
          <m:d>
            <m:dPr>
              <m:begChr m:val="{"/>
              <m:endChr m:val=""/>
              <m:sepChr m:val=""/>
              <m:grow/>
            </m:dPr>
            <m:e>
              <m:m>
                <m:mPr>
                  <m:baseJc m:val="center"/>
                  <m:plcHide m:val="1"/>
                  <m:mcs>
                    <m:mc>
                      <m:mcPr>
                        <m:mcJc m:val="left"/>
                        <m:count m:val="1"/>
                      </m:mcPr>
                    </m:mc>
                    <m:mc>
                      <m:mcPr>
                        <m:mcJc m:val="left"/>
                        <m:count m:val="1"/>
                      </m:mcPr>
                    </m:mc>
                  </m:mcs>
                </m:mPr>
                <m:mr>
                  <m:e>
                    <m:f>
                      <m:fPr>
                        <m:type m:val="lin"/>
                      </m:fPr>
                      <m:num>
                        <m:r>
                          <m:t>1</m:t>
                        </m:r>
                      </m:num>
                      <m:den>
                        <m:r>
                          <m:t>2</m:t>
                        </m:r>
                      </m:den>
                    </m:f>
                    <m:sSup>
                      <m:e>
                        <m:r>
                          <m:t>a</m:t>
                        </m:r>
                      </m:e>
                      <m:sup>
                        <m:r>
                          <m:t>2</m:t>
                        </m:r>
                      </m:sup>
                    </m:sSup>
                  </m:e>
                  <m:e>
                    <m:d>
                      <m:dPr>
                        <m:begChr m:val="|"/>
                        <m:endChr m:val="|"/>
                        <m:sepChr m:val=""/>
                        <m:grow/>
                      </m:dPr>
                      <m:e>
                        <m:r>
                          <m:t>a</m:t>
                        </m:r>
                      </m:e>
                    </m:d>
                    <m:r>
                      <m:rPr>
                        <m:sty m:val="p"/>
                      </m:rPr>
                      <m:t>≤</m:t>
                    </m:r>
                    <m:r>
                      <m:t>δ</m:t>
                    </m:r>
                  </m:e>
                </m:mr>
                <m:mr>
                  <m:e>
                    <m:r>
                      <m:t>δ</m:t>
                    </m:r>
                    <m:d>
                      <m:dPr>
                        <m:begChr m:val="("/>
                        <m:endChr m:val=")"/>
                        <m:sepChr m:val=""/>
                        <m:grow/>
                      </m:dPr>
                      <m:e>
                        <m:d>
                          <m:dPr>
                            <m:begChr m:val="|"/>
                            <m:endChr m:val="|"/>
                            <m:sepChr m:val=""/>
                            <m:grow/>
                          </m:dPr>
                          <m:e>
                            <m:r>
                              <m:t>a</m:t>
                            </m:r>
                          </m:e>
                        </m:d>
                        <m:r>
                          <m:rPr>
                            <m:sty m:val="p"/>
                          </m:rPr>
                          <m:t>−</m:t>
                        </m:r>
                        <m:f>
                          <m:fPr>
                            <m:type m:val="lin"/>
                          </m:fPr>
                          <m:num>
                            <m:r>
                              <m:t>1</m:t>
                            </m:r>
                          </m:num>
                          <m:den>
                            <m:r>
                              <m:t>2</m:t>
                            </m:r>
                          </m:den>
                        </m:f>
                        <m:r>
                          <m:t>δ</m:t>
                        </m:r>
                      </m:e>
                    </m:d>
                  </m:e>
                  <m:e>
                    <m:d>
                      <m:dPr>
                        <m:begChr m:val="|"/>
                        <m:endChr m:val="|"/>
                        <m:sepChr m:val=""/>
                        <m:grow/>
                      </m:dPr>
                      <m:e>
                        <m:r>
                          <m:t>a</m:t>
                        </m:r>
                      </m:e>
                    </m:d>
                    <m:r>
                      <m:rPr>
                        <m:sty m:val="p"/>
                      </m:rPr>
                      <m:t>&gt;</m:t>
                    </m:r>
                    <m:r>
                      <m:t>δ</m:t>
                    </m:r>
                  </m:e>
                </m:mr>
              </m:m>
            </m:e>
          </m:d>
        </m:oMath>
      </m:oMathPara>
    </w:p>
    <w:p>
      <w:pPr>
        <w:pStyle w:val="FirstParagraph"/>
      </w:pPr>
      <w:r>
        <w:t xml:space="preserve">Para predicción multi-paso con horizonte</w:t>
      </w:r>
      <w:r>
        <w:t xml:space="preserve"> </w:t>
      </w:r>
      <m:oMath>
        <m:r>
          <m:t>τ</m:t>
        </m:r>
      </m:oMath>
      <w:r>
        <w:t xml:space="preserve">, la pérdida incorpora pesos decrecientes por horizonte:</w:t>
      </w:r>
    </w:p>
    <w:p>
      <w:pPr>
        <w:pStyle w:val="BodyText"/>
      </w:pPr>
      <m:oMathPara>
        <m:oMathParaPr>
          <m:jc m:val="center"/>
        </m:oMathParaPr>
        <m:oMath>
          <m:r>
            <m:rPr>
              <m:sty m:val="p"/>
              <m:scr m:val="script"/>
            </m:rPr>
            <m:t>L</m:t>
          </m:r>
          <m:r>
            <m:rPr>
              <m:sty m:val="p"/>
            </m:rPr>
            <m:t>=</m:t>
          </m:r>
          <m:nary>
            <m:naryPr>
              <m:chr m:val="∑"/>
              <m:limLoc m:val="undOvr"/>
              <m:subHide m:val="0"/>
              <m:supHide m:val="0"/>
            </m:naryPr>
            <m:sub>
              <m:r>
                <m:t>k</m:t>
              </m:r>
              <m:r>
                <m:rPr>
                  <m:sty m:val="p"/>
                </m:rPr>
                <m:t>=</m:t>
              </m:r>
              <m:r>
                <m:t>1</m:t>
              </m:r>
            </m:sub>
            <m:sup>
              <m:r>
                <m:t>τ</m:t>
              </m:r>
            </m:sup>
            <m:e>
              <m:sSub>
                <m:e>
                  <m:r>
                    <m:t>α</m:t>
                  </m:r>
                </m:e>
                <m:sub>
                  <m:r>
                    <m:t>k</m:t>
                  </m:r>
                </m:sub>
              </m:sSub>
            </m:e>
          </m:nary>
          <m:sSub>
            <m:e>
              <m:r>
                <m:rPr>
                  <m:sty m:val="p"/>
                  <m:scr m:val="script"/>
                </m:rPr>
                <m:t>L</m:t>
              </m:r>
            </m:e>
            <m:sub>
              <m:r>
                <m:rPr>
                  <m:nor/>
                  <m:sty m:val="p"/>
                </m:rPr>
                <m:t>Huber</m:t>
              </m:r>
            </m:sub>
          </m:sSub>
          <m:d>
            <m:dPr>
              <m:begChr m:val="("/>
              <m:endChr m:val=")"/>
              <m:sepChr m:val=""/>
              <m:grow/>
            </m:dPr>
            <m:e>
              <m:sSub>
                <m:e>
                  <m:r>
                    <m:t>y</m:t>
                  </m:r>
                </m:e>
                <m:sub>
                  <m:r>
                    <m:t>t</m:t>
                  </m:r>
                  <m:r>
                    <m:rPr>
                      <m:sty m:val="p"/>
                    </m:rPr>
                    <m:t>+</m:t>
                  </m:r>
                  <m:r>
                    <m:t>k</m:t>
                  </m:r>
                </m:sub>
              </m:sSub>
              <m:r>
                <m:rPr>
                  <m:sty m:val="p"/>
                </m:rPr>
                <m:t>,</m:t>
              </m:r>
              <m:sSub>
                <m:e>
                  <m:acc>
                    <m:accPr>
                      <m:chr m:val="̂"/>
                    </m:accPr>
                    <m:e>
                      <m:r>
                        <m:t>y</m:t>
                      </m:r>
                    </m:e>
                  </m:acc>
                </m:e>
                <m:sub>
                  <m:r>
                    <m:t>t</m:t>
                  </m:r>
                  <m:r>
                    <m:rPr>
                      <m:sty m:val="p"/>
                    </m:rPr>
                    <m:t>+</m:t>
                  </m:r>
                  <m:r>
                    <m:t>k</m:t>
                  </m:r>
                </m:sub>
              </m:sSub>
            </m:e>
          </m:d>
          <m:r>
            <m:rPr>
              <m:sty m:val="p"/>
            </m:rPr>
            <m:t>,</m:t>
          </m:r>
          <m:r>
            <m:t> </m:t>
          </m:r>
          <m:sSub>
            <m:e>
              <m:r>
                <m:t>α</m:t>
              </m:r>
            </m:e>
            <m:sub>
              <m:r>
                <m:t>k</m:t>
              </m:r>
            </m:sub>
          </m:sSub>
          <m:r>
            <m:rPr>
              <m:sty m:val="p"/>
            </m:rPr>
            <m:t>=</m:t>
          </m:r>
          <m:sSup>
            <m:e>
              <m:r>
                <m:t>γ</m:t>
              </m:r>
            </m:e>
            <m:sup>
              <m:r>
                <m:t>k</m:t>
              </m:r>
              <m:r>
                <m:rPr>
                  <m:sty m:val="p"/>
                </m:rPr>
                <m:t>−</m:t>
              </m:r>
              <m:r>
                <m:t>1</m:t>
              </m:r>
            </m:sup>
          </m:sSup>
          <m:r>
            <m:rPr>
              <m:sty m:val="p"/>
            </m:rPr>
            <m:t>,</m:t>
          </m:r>
          <m:r>
            <m:t> </m:t>
          </m:r>
          <m:r>
            <m:t>γ</m:t>
          </m:r>
          <m:r>
            <m:rPr>
              <m:sty m:val="p"/>
            </m:rPr>
            <m:t>=</m:t>
          </m:r>
          <m:r>
            <m:t>0.95</m:t>
          </m:r>
        </m:oMath>
      </m:oMathPara>
    </w:p>
    <w:p>
      <w:pPr>
        <w:pStyle w:val="FirstParagraph"/>
      </w:pPr>
      <w:r>
        <w:t xml:space="preserve">dando mayor importancia a horizontes cortos sin descuidar horizontes largos.</w:t>
      </w:r>
    </w:p>
    <w:bookmarkEnd w:id="29"/>
    <w:bookmarkStart w:id="30" w:name="e-optimizador-adam"/>
    <w:p>
      <w:pPr>
        <w:pStyle w:val="Heading3"/>
      </w:pPr>
      <w:r>
        <w:t xml:space="preserve">E. Optimizador Adam</w:t>
      </w:r>
    </w:p>
    <w:p>
      <w:pPr>
        <w:pStyle w:val="FirstParagraph"/>
      </w:pPr>
      <w:r>
        <w:t xml:space="preserve">El optimizador Adam [16] es el estándar para entrenamiento de LSTM por su robustez y convergencia rápida. Mantiene estimaciones adaptativas del primer y segundo momento de los gradientes:</w:t>
      </w:r>
    </w:p>
    <w:p>
      <w:pPr>
        <w:pStyle w:val="BodyText"/>
      </w:pPr>
      <m:oMathPara>
        <m:oMathParaPr>
          <m:jc m:val="center"/>
        </m:oMathParaPr>
        <m:oMath>
          <m:sSub>
            <m:e>
              <m:r>
                <m:t>m</m:t>
              </m:r>
            </m:e>
            <m:sub>
              <m:r>
                <m:t>k</m:t>
              </m:r>
              <m:r>
                <m:rPr>
                  <m:sty m:val="p"/>
                </m:rPr>
                <m:t>+</m:t>
              </m:r>
              <m:r>
                <m:t>1</m:t>
              </m:r>
            </m:sub>
          </m:sSub>
          <m:r>
            <m:rPr>
              <m:sty m:val="p"/>
            </m:rPr>
            <m:t>=</m:t>
          </m:r>
          <m:sSub>
            <m:e>
              <m:r>
                <m:t>β</m:t>
              </m:r>
            </m:e>
            <m:sub>
              <m:r>
                <m:t>1</m:t>
              </m:r>
            </m:sub>
          </m:sSub>
          <m:sSub>
            <m:e>
              <m:r>
                <m:t>m</m:t>
              </m:r>
            </m:e>
            <m:sub>
              <m:r>
                <m:t>k</m:t>
              </m:r>
            </m:sub>
          </m:sSub>
          <m:r>
            <m:rPr>
              <m:sty m:val="p"/>
            </m:rPr>
            <m:t>+</m:t>
          </m:r>
          <m:d>
            <m:dPr>
              <m:begChr m:val="("/>
              <m:endChr m:val=")"/>
              <m:sepChr m:val=""/>
              <m:grow/>
            </m:dPr>
            <m:e>
              <m:r>
                <m:t>1</m:t>
              </m:r>
              <m:r>
                <m:rPr>
                  <m:sty m:val="p"/>
                </m:rPr>
                <m:t>−</m:t>
              </m:r>
              <m:sSub>
                <m:e>
                  <m:r>
                    <m:t>β</m:t>
                  </m:r>
                </m:e>
                <m:sub>
                  <m:r>
                    <m:t>1</m:t>
                  </m:r>
                </m:sub>
              </m:sSub>
            </m:e>
          </m:d>
          <m:sSub>
            <m:e>
              <m:r>
                <m:t>g</m:t>
              </m:r>
            </m:e>
            <m:sub>
              <m:r>
                <m:t>k</m:t>
              </m:r>
            </m:sub>
          </m:sSub>
          <m:r>
            <m:t> </m:t>
          </m:r>
          <m:r>
            <m:rPr>
              <m:nor/>
              <m:sty m:val="p"/>
            </m:rPr>
            <m:t>(primer momento)</m:t>
          </m:r>
        </m:oMath>
      </m:oMathPara>
    </w:p>
    <w:p>
      <w:pPr>
        <w:pStyle w:val="FirstParagraph"/>
      </w:pPr>
      <m:oMathPara>
        <m:oMathParaPr>
          <m:jc m:val="center"/>
        </m:oMathParaPr>
        <m:oMath>
          <m:sSub>
            <m:e>
              <m:r>
                <m:t>v</m:t>
              </m:r>
            </m:e>
            <m:sub>
              <m:r>
                <m:t>k</m:t>
              </m:r>
              <m:r>
                <m:rPr>
                  <m:sty m:val="p"/>
                </m:rPr>
                <m:t>+</m:t>
              </m:r>
              <m:r>
                <m:t>1</m:t>
              </m:r>
            </m:sub>
          </m:sSub>
          <m:r>
            <m:rPr>
              <m:sty m:val="p"/>
            </m:rPr>
            <m:t>=</m:t>
          </m:r>
          <m:sSub>
            <m:e>
              <m:r>
                <m:t>β</m:t>
              </m:r>
            </m:e>
            <m:sub>
              <m:r>
                <m:t>2</m:t>
              </m:r>
            </m:sub>
          </m:sSub>
          <m:sSub>
            <m:e>
              <m:r>
                <m:t>v</m:t>
              </m:r>
            </m:e>
            <m:sub>
              <m:r>
                <m:t>k</m:t>
              </m:r>
            </m:sub>
          </m:sSub>
          <m:r>
            <m:rPr>
              <m:sty m:val="p"/>
            </m:rPr>
            <m:t>+</m:t>
          </m:r>
          <m:d>
            <m:dPr>
              <m:begChr m:val="("/>
              <m:endChr m:val=")"/>
              <m:sepChr m:val=""/>
              <m:grow/>
            </m:dPr>
            <m:e>
              <m:r>
                <m:t>1</m:t>
              </m:r>
              <m:r>
                <m:rPr>
                  <m:sty m:val="p"/>
                </m:rPr>
                <m:t>−</m:t>
              </m:r>
              <m:sSub>
                <m:e>
                  <m:r>
                    <m:t>β</m:t>
                  </m:r>
                </m:e>
                <m:sub>
                  <m:r>
                    <m:t>2</m:t>
                  </m:r>
                </m:sub>
              </m:sSub>
            </m:e>
          </m:d>
          <m:sSubSup>
            <m:e>
              <m:r>
                <m:t>g</m:t>
              </m:r>
            </m:e>
            <m:sub>
              <m:r>
                <m:t>k</m:t>
              </m:r>
            </m:sub>
            <m:sup>
              <m:r>
                <m:t>2</m:t>
              </m:r>
            </m:sup>
          </m:sSubSup>
          <m:r>
            <m:t> </m:t>
          </m:r>
          <m:r>
            <m:rPr>
              <m:nor/>
              <m:sty m:val="p"/>
            </m:rPr>
            <m:t>(segundo momento)</m:t>
          </m:r>
        </m:oMath>
      </m:oMathPara>
    </w:p>
    <w:p>
      <w:pPr>
        <w:pStyle w:val="FirstParagraph"/>
      </w:pPr>
      <m:oMathPara>
        <m:oMathParaPr>
          <m:jc m:val="center"/>
        </m:oMathParaPr>
        <m:oMath>
          <m:acc>
            <m:accPr>
              <m:chr m:val="̂"/>
            </m:accPr>
            <m:e>
              <m:r>
                <m:t>m</m:t>
              </m:r>
            </m:e>
          </m:acc>
          <m:r>
            <m:rPr>
              <m:sty m:val="p"/>
            </m:rPr>
            <m:t>=</m:t>
          </m:r>
          <m:f>
            <m:fPr>
              <m:type m:val="bar"/>
            </m:fPr>
            <m:num>
              <m:sSub>
                <m:e>
                  <m:r>
                    <m:t>m</m:t>
                  </m:r>
                </m:e>
                <m:sub>
                  <m:r>
                    <m:t>k</m:t>
                  </m:r>
                  <m:r>
                    <m:rPr>
                      <m:sty m:val="p"/>
                    </m:rPr>
                    <m:t>+</m:t>
                  </m:r>
                  <m:r>
                    <m:t>1</m:t>
                  </m:r>
                </m:sub>
              </m:sSub>
            </m:num>
            <m:den>
              <m:r>
                <m:t>1</m:t>
              </m:r>
              <m:r>
                <m:rPr>
                  <m:sty m:val="p"/>
                </m:rPr>
                <m:t>−</m:t>
              </m:r>
              <m:sSubSup>
                <m:e>
                  <m:r>
                    <m:t>β</m:t>
                  </m:r>
                </m:e>
                <m:sub>
                  <m:r>
                    <m:t>1</m:t>
                  </m:r>
                </m:sub>
                <m:sup>
                  <m:r>
                    <m:t>k</m:t>
                  </m:r>
                  <m:r>
                    <m:rPr>
                      <m:sty m:val="p"/>
                    </m:rPr>
                    <m:t>+</m:t>
                  </m:r>
                  <m:r>
                    <m:t>1</m:t>
                  </m:r>
                </m:sup>
              </m:sSubSup>
            </m:den>
          </m:f>
          <m:r>
            <m:rPr>
              <m:sty m:val="p"/>
            </m:rPr>
            <m:t>,</m:t>
          </m:r>
          <m:r>
            <m:t> </m:t>
          </m:r>
          <m:acc>
            <m:accPr>
              <m:chr m:val="̂"/>
            </m:accPr>
            <m:e>
              <m:r>
                <m:t>v</m:t>
              </m:r>
            </m:e>
          </m:acc>
          <m:r>
            <m:rPr>
              <m:sty m:val="p"/>
            </m:rPr>
            <m:t>=</m:t>
          </m:r>
          <m:f>
            <m:fPr>
              <m:type m:val="bar"/>
            </m:fPr>
            <m:num>
              <m:sSub>
                <m:e>
                  <m:r>
                    <m:t>v</m:t>
                  </m:r>
                </m:e>
                <m:sub>
                  <m:r>
                    <m:t>k</m:t>
                  </m:r>
                  <m:r>
                    <m:rPr>
                      <m:sty m:val="p"/>
                    </m:rPr>
                    <m:t>+</m:t>
                  </m:r>
                  <m:r>
                    <m:t>1</m:t>
                  </m:r>
                </m:sub>
              </m:sSub>
            </m:num>
            <m:den>
              <m:r>
                <m:t>1</m:t>
              </m:r>
              <m:r>
                <m:rPr>
                  <m:sty m:val="p"/>
                </m:rPr>
                <m:t>−</m:t>
              </m:r>
              <m:sSubSup>
                <m:e>
                  <m:r>
                    <m:t>β</m:t>
                  </m:r>
                </m:e>
                <m:sub>
                  <m:r>
                    <m:t>2</m:t>
                  </m:r>
                </m:sub>
                <m:sup>
                  <m:r>
                    <m:t>k</m:t>
                  </m:r>
                  <m:r>
                    <m:rPr>
                      <m:sty m:val="p"/>
                    </m:rPr>
                    <m:t>+</m:t>
                  </m:r>
                  <m:r>
                    <m:t>1</m:t>
                  </m:r>
                </m:sup>
              </m:sSubSup>
            </m:den>
          </m:f>
          <m:r>
            <m:t> </m:t>
          </m:r>
          <m:r>
            <m:rPr>
              <m:nor/>
              <m:sty m:val="p"/>
            </m:rPr>
            <m:t>(corrección de sesgo)</m:t>
          </m:r>
        </m:oMath>
      </m:oMathPara>
    </w:p>
    <w:p>
      <w:pPr>
        <w:pStyle w:val="FirstParagraph"/>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r>
            <m:t>η</m:t>
          </m:r>
          <m:f>
            <m:fPr>
              <m:type m:val="bar"/>
            </m:fPr>
            <m:num>
              <m:acc>
                <m:accPr>
                  <m:chr m:val="̂"/>
                </m:accPr>
                <m:e>
                  <m:r>
                    <m:t>m</m:t>
                  </m:r>
                </m:e>
              </m:acc>
            </m:num>
            <m:den>
              <m:rad>
                <m:radPr>
                  <m:degHide m:val="1"/>
                </m:radPr>
                <m:deg/>
                <m:e>
                  <m:acc>
                    <m:accPr>
                      <m:chr m:val="̂"/>
                    </m:accPr>
                    <m:e>
                      <m:r>
                        <m:t>v</m:t>
                      </m:r>
                    </m:e>
                  </m:acc>
                </m:e>
              </m:rad>
              <m:r>
                <m:rPr>
                  <m:sty m:val="p"/>
                </m:rPr>
                <m:t>+</m:t>
              </m:r>
              <m:r>
                <m:t>ϵ</m:t>
              </m:r>
            </m:den>
          </m:f>
        </m:oMath>
      </m:oMathPara>
    </w:p>
    <w:p>
      <w:pPr>
        <w:pStyle w:val="FirstParagraph"/>
      </w:pPr>
      <w:r>
        <w:t xml:space="preserve">con hiperparámetros típicos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ϵ</m:t>
        </m:r>
        <m:r>
          <m:rPr>
            <m:sty m:val="p"/>
          </m:rPr>
          <m:t>=</m:t>
        </m:r>
        <m:sSup>
          <m:e>
            <m:r>
              <m:t>10</m:t>
            </m:r>
          </m:e>
          <m:sup>
            <m:r>
              <m:rPr>
                <m:sty m:val="p"/>
              </m:rPr>
              <m:t>−</m:t>
            </m:r>
            <m:r>
              <m:t>8</m:t>
            </m:r>
          </m:sup>
        </m:sSup>
      </m:oMath>
      <w:r>
        <w:t xml:space="preserve">,</w:t>
      </w:r>
      <w:r>
        <w:t xml:space="preserve"> </w:t>
      </w:r>
      <m:oMath>
        <m:r>
          <m:t>η</m:t>
        </m:r>
        <m:r>
          <m:rPr>
            <m:sty m:val="p"/>
          </m:rPr>
          <m:t>=</m:t>
        </m:r>
        <m:sSup>
          <m:e>
            <m:r>
              <m:t>10</m:t>
            </m:r>
          </m:e>
          <m:sup>
            <m:r>
              <m:rPr>
                <m:sty m:val="p"/>
              </m:rPr>
              <m:t>−</m:t>
            </m:r>
            <m:r>
              <m:t>3</m:t>
            </m:r>
          </m:sup>
        </m:sSup>
      </m:oMath>
      <w:r>
        <w:t xml:space="preserve">. Para prevenir explosión de gradientes, se aplica</w:t>
      </w:r>
      <w:r>
        <w:t xml:space="preserve"> </w:t>
      </w:r>
      <w:r>
        <w:rPr>
          <w:iCs/>
          <w:i/>
        </w:rPr>
        <w:t xml:space="preserve">gradient clipping</w:t>
      </w:r>
      <w:r>
        <w:t xml:space="preserve"> </w:t>
      </w:r>
      <w:r>
        <w:t xml:space="preserve">limitando la norma del gradiente a</w:t>
      </w:r>
      <w:r>
        <w:t xml:space="preserve"> </w:t>
      </w:r>
      <m:oMath>
        <m:sSub>
          <m:e>
            <m:r>
              <m:t>τ</m:t>
            </m:r>
          </m:e>
          <m:sub>
            <m:r>
              <m:rPr>
                <m:nor/>
                <m:sty m:val="p"/>
              </m:rPr>
              <m:t>clip</m:t>
            </m:r>
          </m:sub>
        </m:sSub>
        <m:r>
          <m:rPr>
            <m:sty m:val="p"/>
          </m:rPr>
          <m:t>=</m:t>
        </m:r>
        <m:r>
          <m:t>1.0</m:t>
        </m:r>
      </m:oMath>
      <w:r>
        <w:t xml:space="preserve">. La regularización</w:t>
      </w:r>
      <w:r>
        <w:t xml:space="preserve"> </w:t>
      </w:r>
      <m:oMath>
        <m:sSub>
          <m:e>
            <m:r>
              <m:t>L</m:t>
            </m:r>
          </m:e>
          <m:sub>
            <m:r>
              <m:t>2</m:t>
            </m:r>
          </m:sub>
        </m:sSub>
      </m:oMath>
      <w:r>
        <w:t xml:space="preserve"> </w:t>
      </w:r>
      <w:r>
        <w:t xml:space="preserve">con</w:t>
      </w:r>
      <w:r>
        <w:t xml:space="preserve"> </w:t>
      </w:r>
      <m:oMath>
        <m:r>
          <m:t>λ</m:t>
        </m:r>
        <m:r>
          <m:rPr>
            <m:sty m:val="p"/>
          </m:rPr>
          <m:t>=</m:t>
        </m:r>
        <m:sSup>
          <m:e>
            <m:r>
              <m:t>10</m:t>
            </m:r>
          </m:e>
          <m:sup>
            <m:r>
              <m:rPr>
                <m:sty m:val="p"/>
              </m:rPr>
              <m:t>−</m:t>
            </m:r>
            <m:r>
              <m:t>4</m:t>
            </m:r>
          </m:sup>
        </m:sSup>
      </m:oMath>
      <w:r>
        <w:t xml:space="preserve"> </w:t>
      </w:r>
      <w:r>
        <w:t xml:space="preserve">y el</w:t>
      </w:r>
      <w:r>
        <w:t xml:space="preserve"> </w:t>
      </w:r>
      <w:r>
        <w:rPr>
          <w:iCs/>
          <w:i/>
        </w:rPr>
        <w:t xml:space="preserve">dropout</w:t>
      </w:r>
      <w:r>
        <w:t xml:space="preserve"> </w:t>
      </w:r>
      <w:r>
        <w:t xml:space="preserve">[17] con</w:t>
      </w:r>
      <w:r>
        <w:t xml:space="preserve"> </w:t>
      </w:r>
      <m:oMath>
        <m:r>
          <m:t>p</m:t>
        </m:r>
        <m:r>
          <m:rPr>
            <m:sty m:val="p"/>
          </m:rPr>
          <m:t>=</m:t>
        </m:r>
        <m:r>
          <m:t>0.2</m:t>
        </m:r>
      </m:oMath>
      <w:r>
        <w:t xml:space="preserve">–</w:t>
      </w:r>
      <m:oMath>
        <m:r>
          <m:t>0.3</m:t>
        </m:r>
      </m:oMath>
      <w:r>
        <w:t xml:space="preserve"> </w:t>
      </w:r>
      <w:r>
        <w:t xml:space="preserve">previenen el sobreajuste, con la máscara de dropout aplicada únicamente a conexiones de entrada/salida (no a conexiones recurrentes internas) para preservar las dependencias temporales.</w:t>
      </w:r>
    </w:p>
    <w:p>
      <w:r>
        <w:pict>
          <v:rect style="width:0;height:1.5pt" o:hralign="center" o:hrstd="t" o:hr="t"/>
        </w:pict>
      </w:r>
    </w:p>
    <w:bookmarkEnd w:id="30"/>
    <w:bookmarkEnd w:id="31"/>
    <w:bookmarkStart w:id="35" w:name="iii-caracterización-del-tráfico-5g"/>
    <w:p>
      <w:pPr>
        <w:pStyle w:val="Heading2"/>
      </w:pPr>
      <w:r>
        <w:t xml:space="preserve">III. CARACTERIZACIÓN DEL TRÁFICO 5G</w:t>
      </w:r>
    </w:p>
    <w:bookmarkStart w:id="32" w:name="a-modelo-de-tráfico-compuesto"/>
    <w:p>
      <w:pPr>
        <w:pStyle w:val="Heading3"/>
      </w:pPr>
      <w:r>
        <w:t xml:space="preserve">A. Modelo de Tráfico Compuesto</w:t>
      </w:r>
    </w:p>
    <w:p>
      <w:pPr>
        <w:pStyle w:val="FirstParagraph"/>
      </w:pPr>
      <w:r>
        <w:t xml:space="preserve">El tráfico agregado en una celda 5G se modela como la superposición de múltiples componentes con diferentes escalas temporales [23]–[25]:</w:t>
      </w:r>
    </w:p>
    <w:p>
      <w:pPr>
        <w:pStyle w:val="BodyText"/>
      </w:pPr>
      <m:oMathPara>
        <m:oMathParaPr>
          <m:jc m:val="center"/>
        </m:oMathParaPr>
        <m:oMath>
          <m:r>
            <m:t>X</m:t>
          </m:r>
          <m:d>
            <m:dPr>
              <m:begChr m:val="("/>
              <m:endChr m:val=")"/>
              <m:sepChr m:val=""/>
              <m:grow/>
            </m:dPr>
            <m:e>
              <m:r>
                <m:t>t</m:t>
              </m:r>
            </m:e>
          </m:d>
          <m:r>
            <m:rPr>
              <m:sty m:val="p"/>
            </m:rPr>
            <m:t>=</m:t>
          </m:r>
          <m:r>
            <m:t>T</m:t>
          </m:r>
          <m:d>
            <m:dPr>
              <m:begChr m:val="("/>
              <m:endChr m:val=")"/>
              <m:sepChr m:val=""/>
              <m:grow/>
            </m:dPr>
            <m:e>
              <m:r>
                <m:t>t</m:t>
              </m:r>
            </m:e>
          </m:d>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r>
            <m:t>I</m:t>
          </m:r>
          <m:d>
            <m:dPr>
              <m:begChr m:val="("/>
              <m:endChr m:val=")"/>
              <m:sepChr m:val=""/>
              <m:grow/>
            </m:dPr>
            <m:e>
              <m:r>
                <m:t>t</m:t>
              </m:r>
            </m:e>
          </m:d>
          <m:r>
            <m:rPr>
              <m:sty m:val="p"/>
            </m:rPr>
            <m:t>+</m:t>
          </m:r>
          <m:r>
            <m:t>ε</m:t>
          </m:r>
          <m:d>
            <m:dPr>
              <m:begChr m:val="("/>
              <m:endChr m:val=")"/>
              <m:sepChr m:val=""/>
              <m:grow/>
            </m:dPr>
            <m:e>
              <m:r>
                <m:t>t</m:t>
              </m:r>
            </m:e>
          </m:d>
        </m:oMath>
      </m:oMathPara>
    </w:p>
    <w:p>
      <w:pPr>
        <w:pStyle w:val="FirstParagraph"/>
      </w:pPr>
      <w:r>
        <w:t xml:space="preserve">donde</w:t>
      </w:r>
      <w:r>
        <w:t xml:space="preserve"> </w:t>
      </w:r>
      <m:oMath>
        <m:r>
          <m:t>T</m:t>
        </m:r>
        <m:d>
          <m:dPr>
            <m:begChr m:val="("/>
            <m:endChr m:val=")"/>
            <m:sepChr m:val=""/>
            <m:grow/>
          </m:dPr>
          <m:e>
            <m:r>
              <m:t>t</m:t>
            </m:r>
          </m:e>
        </m:d>
      </m:oMath>
      <w:r>
        <w:t xml:space="preserve"> </w:t>
      </w:r>
      <w:r>
        <w:t xml:space="preserve">es la tendencia de largo plazo (crecimiento del tráfico con el tiempo),</w:t>
      </w:r>
      <w:r>
        <w:t xml:space="preserve"> </w:t>
      </w:r>
      <m:oMath>
        <m:r>
          <m:t>S</m:t>
        </m:r>
        <m:d>
          <m:dPr>
            <m:begChr m:val="("/>
            <m:endChr m:val=")"/>
            <m:sepChr m:val=""/>
            <m:grow/>
          </m:dPr>
          <m:e>
            <m:r>
              <m:t>t</m:t>
            </m:r>
          </m:e>
        </m:d>
      </m:oMath>
      <w:r>
        <w:t xml:space="preserve"> </w:t>
      </w:r>
      <w:r>
        <w:t xml:space="preserve">la componente estacional con periodicidades diaria/semanal (modelada por series de Fourier con</w:t>
      </w:r>
      <w:r>
        <w:t xml:space="preserve"> </w:t>
      </w:r>
      <m:oMath>
        <m:r>
          <m:t>K</m:t>
        </m:r>
        <m:r>
          <m:rPr>
            <m:sty m:val="p"/>
          </m:rPr>
          <m:t>=</m:t>
        </m:r>
        <m:r>
          <m:t>5</m:t>
        </m:r>
      </m:oMath>
      <w:r>
        <w:t xml:space="preserve"> </w:t>
      </w:r>
      <w:r>
        <w:t xml:space="preserve">armónicos por período),</w:t>
      </w:r>
      <w:r>
        <w:t xml:space="preserve"> </w:t>
      </w:r>
      <m:oMath>
        <m:r>
          <m:t>C</m:t>
        </m:r>
        <m:d>
          <m:dPr>
            <m:begChr m:val="("/>
            <m:endChr m:val=")"/>
            <m:sepChr m:val=""/>
            <m:grow/>
          </m:dPr>
          <m:e>
            <m:r>
              <m:t>t</m:t>
            </m:r>
          </m:e>
        </m:d>
      </m:oMath>
      <w:r>
        <w:t xml:space="preserve"> </w:t>
      </w:r>
      <w:r>
        <w:t xml:space="preserve">la componente cíclica de mediano plazo,</w:t>
      </w:r>
      <w:r>
        <w:t xml:space="preserve"> </w:t>
      </w:r>
      <m:oMath>
        <m:r>
          <m:t>I</m:t>
        </m:r>
        <m:d>
          <m:dPr>
            <m:begChr m:val="("/>
            <m:endChr m:val=")"/>
            <m:sepChr m:val=""/>
            <m:grow/>
          </m:dPr>
          <m:e>
            <m:r>
              <m:t>t</m:t>
            </m:r>
          </m:e>
        </m:d>
      </m:oMath>
      <w:r>
        <w:t xml:space="preserve"> </w:t>
      </w:r>
      <w:r>
        <w:t xml:space="preserve">el término de impacto de eventos especiales (conciertos, emergencias, lanzamientos virales), y</w:t>
      </w:r>
      <w:r>
        <w:t xml:space="preserve"> </w:t>
      </w:r>
      <m:oMath>
        <m:r>
          <m:t>ε</m:t>
        </m:r>
        <m:d>
          <m:dPr>
            <m:begChr m:val="("/>
            <m:endChr m:val=")"/>
            <m:sepChr m:val=""/>
            <m:grow/>
          </m:dPr>
          <m:e>
            <m:r>
              <m:t>t</m:t>
            </m:r>
          </m:e>
        </m:d>
      </m:oMath>
      <w:r>
        <w:t xml:space="preserve"> </w:t>
      </w:r>
      <w:r>
        <w:t xml:space="preserve">el ruido estocástico residual.</w:t>
      </w:r>
    </w:p>
    <w:p>
      <w:pPr>
        <w:pStyle w:val="BodyText"/>
      </w:pPr>
      <w:r>
        <w:t xml:space="preserve">El tráfico 5G exhibe cuatro propiedades estadísticas críticas que condicionan el diseño del modelo:</w:t>
      </w:r>
      <w:r>
        <w:t xml:space="preserve"> </w:t>
      </w:r>
      <w:r>
        <w:rPr>
          <w:bCs/>
          <w:b/>
        </w:rPr>
        <w:t xml:space="preserve">(1) No-estacionariedad</w:t>
      </w:r>
      <w:r>
        <w:t xml:space="preserve">: tanto la media</w:t>
      </w:r>
      <w:r>
        <w:t xml:space="preserve"> </w:t>
      </w:r>
      <m:oMath>
        <m:r>
          <m:t>μ</m:t>
        </m:r>
        <m:d>
          <m:dPr>
            <m:begChr m:val="("/>
            <m:endChr m:val=")"/>
            <m:sepChr m:val=""/>
            <m:grow/>
          </m:dPr>
          <m:e>
            <m:r>
              <m:t>t</m:t>
            </m:r>
          </m:e>
        </m:d>
        <m:r>
          <m:rPr>
            <m:sty m:val="p"/>
          </m:rPr>
          <m:t>=</m:t>
        </m:r>
        <m:r>
          <m:rPr>
            <m:sty m:val="p"/>
            <m:scr m:val="double-struck"/>
          </m:rPr>
          <m:t>E</m:t>
        </m:r>
        <m:d>
          <m:dPr>
            <m:begChr m:val="["/>
            <m:endChr m:val="]"/>
            <m:sepChr m:val=""/>
            <m:grow/>
          </m:dPr>
          <m:e>
            <m:r>
              <m:t>X</m:t>
            </m:r>
            <m:d>
              <m:dPr>
                <m:begChr m:val="("/>
                <m:endChr m:val=")"/>
                <m:sepChr m:val=""/>
                <m:grow/>
              </m:dPr>
              <m:e>
                <m:r>
                  <m:t>t</m:t>
                </m:r>
              </m:e>
            </m:d>
          </m:e>
        </m:d>
      </m:oMath>
      <w:r>
        <w:t xml:space="preserve"> </w:t>
      </w:r>
      <w:r>
        <w:t xml:space="preserve">como la varianza</w:t>
      </w:r>
      <w:r>
        <w:t xml:space="preserve"> </w:t>
      </w:r>
      <m:oMath>
        <m:sSup>
          <m:e>
            <m:r>
              <m:t>σ</m:t>
            </m:r>
          </m:e>
          <m:sup>
            <m:r>
              <m:t>2</m:t>
            </m:r>
          </m:sup>
        </m:sSup>
        <m:d>
          <m:dPr>
            <m:begChr m:val="("/>
            <m:endChr m:val=")"/>
            <m:sepChr m:val=""/>
            <m:grow/>
          </m:dPr>
          <m:e>
            <m:r>
              <m:t>t</m:t>
            </m:r>
          </m:e>
        </m:d>
        <m:r>
          <m:rPr>
            <m:sty m:val="p"/>
          </m:rPr>
          <m:t>=</m:t>
        </m:r>
        <m:r>
          <m:rPr>
            <m:nor/>
            <m:sty m:val="p"/>
          </m:rPr>
          <m:t>Var</m:t>
        </m:r>
        <m:d>
          <m:dPr>
            <m:begChr m:val="["/>
            <m:endChr m:val="]"/>
            <m:sepChr m:val=""/>
            <m:grow/>
          </m:dPr>
          <m:e>
            <m:r>
              <m:t>X</m:t>
            </m:r>
            <m:d>
              <m:dPr>
                <m:begChr m:val="("/>
                <m:endChr m:val=")"/>
                <m:sepChr m:val=""/>
                <m:grow/>
              </m:dPr>
              <m:e>
                <m:r>
                  <m:t>t</m:t>
                </m:r>
              </m:e>
            </m:d>
          </m:e>
        </m:d>
      </m:oMath>
      <w:r>
        <w:t xml:space="preserve"> </w:t>
      </w:r>
      <w:r>
        <w:t xml:space="preserve">son dependientes del tiempo, violando las suposiciones de modelos estadísticos clásicos [24], [27].</w:t>
      </w:r>
      <w:r>
        <w:t xml:space="preserve"> </w:t>
      </w:r>
      <w:r>
        <w:rPr>
          <w:bCs/>
          <w:b/>
        </w:rPr>
        <w:t xml:space="preserve">(2) Heterocedasticidad</w:t>
      </w:r>
      <w:r>
        <w:t xml:space="preserve">: la varianza es proporcional al nivel medio (</w:t>
      </w:r>
      <m:oMath>
        <m:sSup>
          <m:e>
            <m:r>
              <m:t>σ</m:t>
            </m:r>
          </m:e>
          <m:sup>
            <m:r>
              <m:t>2</m:t>
            </m:r>
          </m:sup>
        </m:sSup>
        <m:d>
          <m:dPr>
            <m:begChr m:val="("/>
            <m:endChr m:val=")"/>
            <m:sepChr m:val=""/>
            <m:grow/>
          </m:dPr>
          <m:e>
            <m:r>
              <m:t>t</m:t>
            </m:r>
          </m:e>
        </m:d>
        <m:r>
          <m:rPr>
            <m:sty m:val="p"/>
          </m:rPr>
          <m:t>≈</m:t>
        </m:r>
        <m:r>
          <m:t>α</m:t>
        </m:r>
        <m:r>
          <m:rPr>
            <m:sty m:val="p"/>
          </m:rPr>
          <m:t>+</m:t>
        </m:r>
        <m:r>
          <m:t>β</m:t>
        </m:r>
        <m:r>
          <m:t>μ</m:t>
        </m:r>
        <m:d>
          <m:dPr>
            <m:begChr m:val="("/>
            <m:endChr m:val=")"/>
            <m:sepChr m:val=""/>
            <m:grow/>
          </m:dPr>
          <m:e>
            <m:r>
              <m:t>t</m:t>
            </m:r>
          </m:e>
        </m:d>
      </m:oMath>
      <w:r>
        <w:t xml:space="preserve">), justificando transformaciones de estabilización de varianza como</w:t>
      </w:r>
      <w:r>
        <w:t xml:space="preserve"> </w:t>
      </w:r>
      <m:oMath>
        <m:r>
          <m:rPr>
            <m:sty m:val="p"/>
          </m:rPr>
          <m:t>log</m:t>
        </m:r>
        <m:d>
          <m:dPr>
            <m:begChr m:val="("/>
            <m:endChr m:val=")"/>
            <m:sepChr m:val=""/>
            <m:grow/>
          </m:dPr>
          <m:e>
            <m:r>
              <m:t>X</m:t>
            </m:r>
            <m:r>
              <m:rPr>
                <m:sty m:val="p"/>
              </m:rPr>
              <m:t>+</m:t>
            </m:r>
            <m:r>
              <m:t>1</m:t>
            </m:r>
          </m:e>
        </m:d>
      </m:oMath>
      <w:r>
        <w:t xml:space="preserve">.</w:t>
      </w:r>
      <w:r>
        <w:t xml:space="preserve"> </w:t>
      </w:r>
      <w:r>
        <w:rPr>
          <w:bCs/>
          <w:b/>
        </w:rPr>
        <w:t xml:space="preserve">(3) Auto-correlación de largo alcance</w:t>
      </w:r>
      <w:r>
        <w:t xml:space="preserve">: la función de autocorrelación (ACF) decae lentamente, con picos en</w:t>
      </w:r>
      <w:r>
        <w:t xml:space="preserve"> </w:t>
      </w:r>
      <m:oMath>
        <m:r>
          <m:t>ρ</m:t>
        </m:r>
        <m:d>
          <m:dPr>
            <m:begChr m:val="("/>
            <m:endChr m:val=")"/>
            <m:sepChr m:val=""/>
            <m:grow/>
          </m:dPr>
          <m:e>
            <m:r>
              <m:t>96</m:t>
            </m:r>
          </m:e>
        </m:d>
      </m:oMath>
      <w:r>
        <w:t xml:space="preserve"> </w:t>
      </w:r>
      <w:r>
        <w:t xml:space="preserve">(1 día) y</w:t>
      </w:r>
      <w:r>
        <w:t xml:space="preserve"> </w:t>
      </w:r>
      <m:oMath>
        <m:r>
          <m:t>ρ</m:t>
        </m:r>
        <m:d>
          <m:dPr>
            <m:begChr m:val="("/>
            <m:endChr m:val=")"/>
            <m:sepChr m:val=""/>
            <m:grow/>
          </m:dPr>
          <m:e>
            <m:r>
              <m:t>672</m:t>
            </m:r>
          </m:e>
        </m:d>
      </m:oMath>
      <w:r>
        <w:t xml:space="preserve"> </w:t>
      </w:r>
      <w:r>
        <w:t xml:space="preserve">(1 semana), exigiendo ventanas de lookback</w:t>
      </w:r>
      <w:r>
        <w:t xml:space="preserve"> </w:t>
      </w:r>
      <m:oMath>
        <m:r>
          <m:t>w</m:t>
        </m:r>
        <m:r>
          <m:rPr>
            <m:sty m:val="p"/>
          </m:rPr>
          <m:t>≥</m:t>
        </m:r>
        <m:r>
          <m:t>96</m:t>
        </m:r>
      </m:oMath>
      <w:r>
        <w:t xml:space="preserve"> </w:t>
      </w:r>
      <w:r>
        <w:t xml:space="preserve">pasos.</w:t>
      </w:r>
      <w:r>
        <w:t xml:space="preserve"> </w:t>
      </w:r>
      <w:r>
        <w:rPr>
          <w:bCs/>
          <w:b/>
        </w:rPr>
        <w:t xml:space="preserve">(4) Colas pesadas</w:t>
      </w:r>
      <w:r>
        <w:t xml:space="preserve">: la distribución del tráfico sigue aproximadamente una ley de potencias con exponente</w:t>
      </w:r>
      <w:r>
        <w:t xml:space="preserve"> </w:t>
      </w:r>
      <m:oMath>
        <m:r>
          <m:t>α</m:t>
        </m:r>
        <m:r>
          <m:rPr>
            <m:sty m:val="p"/>
          </m:rPr>
          <m:t>≈</m:t>
        </m:r>
        <m:r>
          <m:t>1.5</m:t>
        </m:r>
      </m:oMath>
      <w:r>
        <w:t xml:space="preserve">–</w:t>
      </w:r>
      <m:oMath>
        <m:r>
          <m:t>2.5</m:t>
        </m:r>
      </m:oMath>
      <w:r>
        <w:t xml:space="preserve">, implicando mayor probabilidad de picos extremos que la distribución gaussiana [28].</w:t>
      </w:r>
    </w:p>
    <w:bookmarkEnd w:id="32"/>
    <w:bookmarkStart w:id="33" w:name="X4749b99e723d32d472dacdba89c5a2a1e5abbc2"/>
    <w:p>
      <w:pPr>
        <w:pStyle w:val="Heading3"/>
      </w:pPr>
      <w:r>
        <w:t xml:space="preserve">B. Perfiles de Tráfico por Tipo de Servicio 5G</w:t>
      </w:r>
    </w:p>
    <w:p>
      <w:pPr>
        <w:pStyle w:val="FirstParagraph"/>
      </w:pPr>
      <w:r>
        <w:t xml:space="preserve">Los tres servicios 5G generan perfiles de tráfico con características temporales fundamentalmente diferentes, lo que motiva directamente la arquitectura multi-resolución propuesta [2], [25], [29]:</w:t>
      </w:r>
    </w:p>
    <w:p>
      <w:pPr>
        <w:pStyle w:val="BodyText"/>
      </w:pPr>
      <w:r>
        <w:rPr>
          <w:bCs/>
          <w:b/>
        </w:rPr>
        <w:t xml:space="preserve">eMBB</w:t>
      </w:r>
      <w:r>
        <w:t xml:space="preserve">: sesiones largas (10–60 min) con transferencias de grandes volúmenes de datos, distribución de tamaño log-normal o Pareto. El tráfico exhibe picos pronunciados durante horas de mayor actividad humana (8–12 h y 18–22 h) con valle nocturno profundo (2–5 h). La autocorrelación diaria es muy marcada (</w:t>
      </w:r>
      <m:oMath>
        <m:r>
          <m:t>ρ</m:t>
        </m:r>
        <m:d>
          <m:dPr>
            <m:begChr m:val="("/>
            <m:endChr m:val=")"/>
            <m:sepChr m:val=""/>
            <m:grow/>
          </m:dPr>
          <m:e>
            <m:r>
              <m:t>96</m:t>
            </m:r>
          </m:e>
        </m:d>
        <m:r>
          <m:rPr>
            <m:sty m:val="p"/>
          </m:rPr>
          <m:t>&gt;</m:t>
        </m:r>
        <m:r>
          <m:t>0.85</m:t>
        </m:r>
      </m:oMath>
      <w:r>
        <w:t xml:space="preserve">).</w:t>
      </w:r>
    </w:p>
    <w:p>
      <w:pPr>
        <w:pStyle w:val="BodyText"/>
      </w:pPr>
      <w:r>
        <w:rPr>
          <w:bCs/>
          <w:b/>
        </w:rPr>
        <w:t xml:space="preserve">URLLC</w:t>
      </w:r>
      <w:r>
        <w:t xml:space="preserve">: paquetes pequeños (</w:t>
      </w:r>
      <m:oMath>
        <m:r>
          <m:rPr>
            <m:sty m:val="p"/>
          </m:rPr>
          <m:t>&lt;</m:t>
        </m:r>
        <m:r>
          <m:t>100</m:t>
        </m:r>
      </m:oMath>
      <w:r>
        <w:t xml:space="preserve"> </w:t>
      </w:r>
      <w:r>
        <w:t xml:space="preserve">bytes) con llegadas periódicas o disparadas por eventos. Patrón temporal semi-determinístico con demanda crítica sostenida en horario laboral. La variabilidad es baja relativa a eMBB, pero los incumplimientos de latencia son inaceptables. La predictibilidad es moderada gracias a la regularidad de los patrones de activación.</w:t>
      </w:r>
    </w:p>
    <w:p>
      <w:pPr>
        <w:pStyle w:val="BodyText"/>
      </w:pPr>
      <w:r>
        <w:rPr>
          <w:bCs/>
          <w:b/>
        </w:rPr>
        <w:t xml:space="preserve">mMTC</w:t>
      </w:r>
      <w:r>
        <w:t xml:space="preserve">: transmisiones esporádicas agregadas de millones de dispositivos. Actividad baja (</w:t>
      </w:r>
      <m:oMath>
        <m:r>
          <m:rPr>
            <m:sty m:val="p"/>
          </m:rPr>
          <m:t>&lt;</m:t>
        </m:r>
        <m:r>
          <m:t>10</m:t>
        </m:r>
        <m:r>
          <m:rPr>
            <m:sty m:val="p"/>
          </m:rPr>
          <m:t>%</m:t>
        </m:r>
      </m:oMath>
      <w:r>
        <w:t xml:space="preserve"> </w:t>
      </w:r>
      <w:r>
        <w:t xml:space="preserve">de la capacidad) y relativamente constante a lo largo del día, con ligeros incrementos durante horas de negocio para dispositivos industriales y sensores. La agregación de muchos dispositivos reduce la variabilidad relativa, aunque el volumen total puede ser significativo en escenarios de alta densidad.</w:t>
      </w:r>
    </w:p>
    <w:bookmarkEnd w:id="33"/>
    <w:bookmarkStart w:id="34" w:name="c-datasets-y-preprocesamiento"/>
    <w:p>
      <w:pPr>
        <w:pStyle w:val="Heading3"/>
      </w:pPr>
      <w:r>
        <w:t xml:space="preserve">C. Datasets y Preprocesamiento</w:t>
      </w:r>
    </w:p>
    <w:p>
      <w:pPr>
        <w:pStyle w:val="FirstParagraph"/>
      </w:pPr>
      <w:r>
        <w:t xml:space="preserve">Se utilizan tres datasets complementarios para evaluación exhaustiva:</w:t>
      </w:r>
    </w:p>
    <w:p>
      <w:pPr>
        <w:pStyle w:val="BodyText"/>
      </w:pPr>
      <w:r>
        <w:rPr>
          <w:bCs/>
          <w:b/>
        </w:rPr>
        <w:t xml:space="preserve">Dataset Milano (Telecom Italia BigData Challenge)</w:t>
      </w:r>
      <w:r>
        <w:t xml:space="preserve"> </w:t>
      </w:r>
      <w:r>
        <w:t xml:space="preserve">[26]: Registros de actividad de red en una grilla de</w:t>
      </w:r>
      <w:r>
        <w:t xml:space="preserve"> </w:t>
      </w:r>
      <m:oMath>
        <m:r>
          <m:t>100</m:t>
        </m:r>
        <m:r>
          <m:rPr>
            <m:sty m:val="p"/>
          </m:rPr>
          <m:t>×</m:t>
        </m:r>
        <m:r>
          <m:t>100</m:t>
        </m:r>
      </m:oMath>
      <w:r>
        <w:t xml:space="preserve"> </w:t>
      </w:r>
      <w:r>
        <w:t xml:space="preserve">celdas que cubre la ciudad de Milán, con resolución espacial de 235 m × 235 m y resolución temporal de 10 min, durante noviembre–diciembre de 2013 (60 días). Se utiliza la celda central de mayor actividad para la evaluación principal. Este dataset captura las dinámicas urbanas típicas con eventos especiales (Serie A de fútbol, Navidad).</w:t>
      </w:r>
    </w:p>
    <w:p>
      <w:pPr>
        <w:pStyle w:val="BodyText"/>
      </w:pPr>
      <w:r>
        <w:rPr>
          <w:bCs/>
          <w:b/>
        </w:rPr>
        <w:t xml:space="preserve">Dataset Shanghai Telecom</w:t>
      </w:r>
      <w:r>
        <w:t xml:space="preserve"> </w:t>
      </w:r>
      <w:r>
        <w:t xml:space="preserve">[28]: Datos de tráfico reales de estaciones base en Shanghai con granularidad de 15 min, cubriendo una zona urbana densa durante 4 meses. Presenta mayor variabilidad que Milano debido a la escala mayor de la ciudad y la diversidad de zonas (comerciales, residenciales, industriales).</w:t>
      </w:r>
    </w:p>
    <w:p>
      <w:pPr>
        <w:pStyle w:val="BodyText"/>
      </w:pPr>
      <w:r>
        <w:rPr>
          <w:bCs/>
          <w:b/>
        </w:rPr>
        <w:t xml:space="preserve">Dataset Sintético 5G</w:t>
      </w:r>
      <w:r>
        <w:t xml:space="preserve"> </w:t>
      </w:r>
      <w:r>
        <w:t xml:space="preserve">[29]: Generado con modelos estocásticos calibrados a especificaciones 3GPP para las tres categorías de servicio (eMBB, URLLC, mMTC) con parámetros realistas: granularidad 5 min, 3 meses de duración, 50 celdas. Permite evaluación controlada de la capacidad del modelo para distinguir entre tipos de tráfico heterogéneos.</w:t>
      </w:r>
    </w:p>
    <w:p>
      <w:pPr>
        <w:pStyle w:val="BodyText"/>
      </w:pPr>
      <w:r>
        <w:t xml:space="preserve">El</w:t>
      </w:r>
      <w:r>
        <w:t xml:space="preserve"> </w:t>
      </w:r>
      <w:r>
        <w:rPr>
          <w:bCs/>
          <w:b/>
        </w:rPr>
        <w:t xml:space="preserve">preprocesamiento</w:t>
      </w:r>
      <w:r>
        <w:t xml:space="preserve"> </w:t>
      </w:r>
      <w:r>
        <w:t xml:space="preserve">sigue cinco pasos: (1) detección e interpolación lineal de valores faltantes (</w:t>
      </w:r>
      <m:oMath>
        <m:r>
          <m:rPr>
            <m:sty m:val="p"/>
          </m:rPr>
          <m:t>&lt;</m:t>
        </m:r>
        <m:r>
          <m:t>2</m:t>
        </m:r>
        <m:r>
          <m:rPr>
            <m:sty m:val="p"/>
          </m:rPr>
          <m:t>%</m:t>
        </m:r>
      </m:oMath>
      <w:r>
        <w:t xml:space="preserve"> </w:t>
      </w:r>
      <w:r>
        <w:t xml:space="preserve">en todos los datasets); (2) detección de outliers por z-score (</w:t>
      </w:r>
      <m:oMath>
        <m:d>
          <m:dPr>
            <m:begChr m:val="|"/>
            <m:endChr m:val="|"/>
            <m:sepChr m:val=""/>
            <m:grow/>
          </m:dPr>
          <m:e>
            <m:r>
              <m:t>z</m:t>
            </m:r>
          </m:e>
        </m:d>
        <m:r>
          <m:rPr>
            <m:sty m:val="p"/>
          </m:rPr>
          <m:t>&gt;</m:t>
        </m:r>
        <m:r>
          <m:t>3.5</m:t>
        </m:r>
      </m:oMath>
      <w:r>
        <w:t xml:space="preserve">) y reemplazo por mediana local de una ventana de 5 pasos; (3) descomposición STL [36] para extraer y separar las componentes</w:t>
      </w:r>
      <w:r>
        <w:t xml:space="preserve"> </w:t>
      </w:r>
      <m:oMath>
        <m:r>
          <m:t>T</m:t>
        </m:r>
        <m:d>
          <m:dPr>
            <m:begChr m:val="("/>
            <m:endChr m:val=")"/>
            <m:sepChr m:val=""/>
            <m:grow/>
          </m:dPr>
          <m:e>
            <m:r>
              <m:t>t</m:t>
            </m:r>
          </m:e>
        </m:d>
      </m:oMath>
      <w:r>
        <w:t xml:space="preserve">,</w:t>
      </w:r>
      <w:r>
        <w:t xml:space="preserve"> </w:t>
      </w:r>
      <m:oMath>
        <m:r>
          <m:t>S</m:t>
        </m:r>
        <m:d>
          <m:dPr>
            <m:begChr m:val="("/>
            <m:endChr m:val=")"/>
            <m:sepChr m:val=""/>
            <m:grow/>
          </m:dPr>
          <m:e>
            <m:r>
              <m:t>t</m:t>
            </m:r>
          </m:e>
        </m:d>
      </m:oMath>
      <w:r>
        <w:t xml:space="preserve"> </w:t>
      </w:r>
      <w:r>
        <w:t xml:space="preserve">y el residual</w:t>
      </w:r>
      <w:r>
        <w:t xml:space="preserve"> </w:t>
      </w:r>
      <m:oMath>
        <m:r>
          <m:t>R</m:t>
        </m:r>
        <m:d>
          <m:dPr>
            <m:begChr m:val="("/>
            <m:endChr m:val=")"/>
            <m:sepChr m:val=""/>
            <m:grow/>
          </m:dPr>
          <m:e>
            <m:r>
              <m:t>t</m:t>
            </m:r>
          </m:e>
        </m:d>
      </m:oMath>
      <w:r>
        <w:t xml:space="preserve">; (4) normalización Min-Max de</w:t>
      </w:r>
      <w:r>
        <w:t xml:space="preserve"> </w:t>
      </w:r>
      <m:oMath>
        <m:r>
          <m:t>R</m:t>
        </m:r>
        <m:d>
          <m:dPr>
            <m:begChr m:val="("/>
            <m:endChr m:val=")"/>
            <m:sepChr m:val=""/>
            <m:grow/>
          </m:dPr>
          <m:e>
            <m:r>
              <m:t>t</m:t>
            </m:r>
          </m:e>
        </m:d>
      </m:oMath>
      <w:r>
        <w:t xml:space="preserve"> </w:t>
      </w:r>
      <w:r>
        <w:t xml:space="preserve">a</w:t>
      </w:r>
      <w:r>
        <w:t xml:space="preserve"> </w:t>
      </w:r>
      <m:oMath>
        <m:d>
          <m:dPr>
            <m:begChr m:val="["/>
            <m:endChr m:val="]"/>
            <m:sepChr m:val=""/>
            <m:grow/>
          </m:dPr>
          <m:e>
            <m:r>
              <m:t>0</m:t>
            </m:r>
            <m:r>
              <m:rPr>
                <m:sty m:val="p"/>
              </m:rPr>
              <m:t>,</m:t>
            </m:r>
            <m:r>
              <m:t>1</m:t>
            </m:r>
          </m:e>
        </m:d>
      </m:oMath>
      <w:r>
        <w:t xml:space="preserve"> </w:t>
      </w:r>
      <w:r>
        <w:t xml:space="preserve">usando los percentiles 5 y 95 para robustez ante extremos; y (5) construcción de ventanas deslizantes con lookback</w:t>
      </w:r>
      <w:r>
        <w:t xml:space="preserve"> </w:t>
      </w:r>
      <m:oMath>
        <m:r>
          <m:t>w</m:t>
        </m:r>
        <m:r>
          <m:rPr>
            <m:sty m:val="p"/>
          </m:rPr>
          <m:t>=</m:t>
        </m:r>
        <m:r>
          <m:t>96</m:t>
        </m:r>
      </m:oMath>
      <w:r>
        <w:t xml:space="preserve"> </w:t>
      </w:r>
      <w:r>
        <w:t xml:space="preserve">pasos y horizonte</w:t>
      </w:r>
      <w:r>
        <w:t xml:space="preserve"> </w:t>
      </w:r>
      <m:oMath>
        <m:r>
          <m:t>τ</m:t>
        </m:r>
        <m:r>
          <m:rPr>
            <m:sty m:val="p"/>
          </m:rPr>
          <m:t>∈</m:t>
        </m:r>
        <m:r>
          <m:rPr>
            <m:sty m:val="p"/>
          </m:rPr>
          <m:t>{</m:t>
        </m:r>
        <m:r>
          <m:t>4</m:t>
        </m:r>
        <m:r>
          <m:rPr>
            <m:sty m:val="p"/>
          </m:rPr>
          <m:t>,</m:t>
        </m:r>
        <m:r>
          <m:t>8</m:t>
        </m:r>
        <m:r>
          <m:rPr>
            <m:sty m:val="p"/>
          </m:rPr>
          <m:t>,</m:t>
        </m:r>
        <m:r>
          <m:t>12</m:t>
        </m:r>
        <m:r>
          <m:rPr>
            <m:sty m:val="p"/>
          </m:rPr>
          <m:t>,</m:t>
        </m:r>
        <m:r>
          <m:t>24</m:t>
        </m:r>
        <m:r>
          <m:rPr>
            <m:sty m:val="p"/>
          </m:rPr>
          <m:t>}</m:t>
        </m:r>
      </m:oMath>
      <w:r>
        <w:t xml:space="preserve"> </w:t>
      </w:r>
      <w:r>
        <w:t xml:space="preserve">pasos. La partición temporal (respetando orden cronológico): 70% entrenamiento, 15% validación, 15% prueba.</w:t>
      </w:r>
    </w:p>
    <w:p>
      <w:r>
        <w:pict>
          <v:rect style="width:0;height:1.5pt" o:hralign="center" o:hrstd="t" o:hr="t"/>
        </w:pict>
      </w:r>
    </w:p>
    <w:bookmarkEnd w:id="34"/>
    <w:bookmarkEnd w:id="35"/>
    <w:bookmarkStart w:id="41" w:name="X89005924da1eed45cee9576d5ec5a030df10d03"/>
    <w:p>
      <w:pPr>
        <w:pStyle w:val="Heading2"/>
      </w:pPr>
      <w:r>
        <w:t xml:space="preserve">IV. ARQUITECTURA LSTM AVANZADA PARA PREDICCIÓN DE TRÁFICO 5G</w:t>
      </w:r>
    </w:p>
    <w:bookmarkStart w:id="36" w:name="a-formulación-del-problema-de-predicción"/>
    <w:p>
      <w:pPr>
        <w:pStyle w:val="Heading3"/>
      </w:pPr>
      <w:r>
        <w:t xml:space="preserve">A. Formulación del Problema de Predicción</w:t>
      </w:r>
    </w:p>
    <w:p>
      <w:pPr>
        <w:pStyle w:val="FirstParagraph"/>
      </w:pPr>
      <w:r>
        <w:t xml:space="preserve">Dado el histórico de tráfico</w:t>
      </w:r>
      <w:r>
        <w:t xml:space="preserve"> </w:t>
      </w:r>
      <m:oMath>
        <m:r>
          <m:rPr>
            <m:sty m:val="p"/>
          </m:rPr>
          <m:t>{</m:t>
        </m:r>
        <m:r>
          <m:t>X</m:t>
        </m:r>
        <m:d>
          <m:dPr>
            <m:begChr m:val="("/>
            <m:endChr m:val=")"/>
            <m:sepChr m:val=""/>
            <m:grow/>
          </m:dPr>
          <m:e>
            <m:r>
              <m:t>1</m:t>
            </m:r>
          </m:e>
        </m:d>
        <m:r>
          <m:rPr>
            <m:sty m:val="p"/>
          </m:rPr>
          <m:t>,</m:t>
        </m:r>
        <m:r>
          <m:rPr>
            <m:sty m:val="p"/>
          </m:rPr>
          <m:t>…</m:t>
        </m:r>
        <m:r>
          <m:rPr>
            <m:sty m:val="p"/>
          </m:rPr>
          <m:t>,</m:t>
        </m:r>
        <m:r>
          <m:t>X</m:t>
        </m:r>
        <m:d>
          <m:dPr>
            <m:begChr m:val="("/>
            <m:endChr m:val=")"/>
            <m:sepChr m:val=""/>
            <m:grow/>
          </m:dPr>
          <m:e>
            <m:r>
              <m:t>t</m:t>
            </m:r>
          </m:e>
        </m:d>
        <m:r>
          <m:rPr>
            <m:sty m:val="p"/>
          </m:rPr>
          <m:t>}</m:t>
        </m:r>
      </m:oMath>
      <w:r>
        <w:t xml:space="preserve"> </w:t>
      </w:r>
      <w:r>
        <w:t xml:space="preserve">junto con variables exógenas</w:t>
      </w:r>
      <w:r>
        <w:t xml:space="preserve"> </w:t>
      </w:r>
      <m:oMath>
        <m:r>
          <m:rPr>
            <m:sty m:val="p"/>
          </m:rPr>
          <m:t>{</m:t>
        </m:r>
        <m:r>
          <m:rPr>
            <m:sty m:val="b"/>
          </m:rPr>
          <m:t>z</m:t>
        </m:r>
        <m:d>
          <m:dPr>
            <m:begChr m:val="("/>
            <m:endChr m:val=")"/>
            <m:sepChr m:val=""/>
            <m:grow/>
          </m:dPr>
          <m:e>
            <m:r>
              <m:t>s</m:t>
            </m:r>
          </m:e>
        </m:d>
        <m:sSub>
          <m:e>
            <m:r>
              <m:rPr>
                <m:sty m:val="p"/>
              </m:rPr>
              <m:t>}</m:t>
            </m:r>
          </m:e>
          <m:sub>
            <m:r>
              <m:t>s</m:t>
            </m:r>
            <m:r>
              <m:rPr>
                <m:sty m:val="p"/>
              </m:rPr>
              <m:t>≤</m:t>
            </m:r>
            <m:r>
              <m:t>t</m:t>
            </m:r>
          </m:sub>
        </m:sSub>
      </m:oMath>
      <w:r>
        <w:t xml:space="preserve">, el objetivo es estimar</w:t>
      </w:r>
      <w:r>
        <w:t xml:space="preserve"> </w:t>
      </w:r>
      <m:oMath>
        <m:r>
          <m:rPr>
            <m:sty m:val="p"/>
          </m:rPr>
          <m:t>{</m:t>
        </m:r>
        <m:acc>
          <m:accPr>
            <m:chr m:val="̂"/>
          </m:accPr>
          <m:e>
            <m:r>
              <m:t>X</m:t>
            </m:r>
          </m:e>
        </m:acc>
        <m:d>
          <m:dPr>
            <m:begChr m:val="("/>
            <m:endChr m:val=")"/>
            <m:sepChr m:val=""/>
            <m:grow/>
          </m:dPr>
          <m:e>
            <m:r>
              <m:t>t</m:t>
            </m:r>
            <m:r>
              <m:rPr>
                <m:sty m:val="p"/>
              </m:rPr>
              <m:t>+</m:t>
            </m:r>
            <m:r>
              <m:t>k</m:t>
            </m:r>
          </m:e>
        </m:d>
        <m:sSubSup>
          <m:e>
            <m:r>
              <m:rPr>
                <m:sty m:val="p"/>
              </m:rPr>
              <m:t>}</m:t>
            </m:r>
          </m:e>
          <m:sub>
            <m:r>
              <m:t>k</m:t>
            </m:r>
            <m:r>
              <m:rPr>
                <m:sty m:val="p"/>
              </m:rPr>
              <m:t>=</m:t>
            </m:r>
            <m:r>
              <m:t>1</m:t>
            </m:r>
          </m:sub>
          <m:sup>
            <m:r>
              <m:t>τ</m:t>
            </m:r>
          </m:sup>
        </m:sSubSup>
      </m:oMath>
      <w:r>
        <w:t xml:space="preserve"> </w:t>
      </w:r>
      <w:r>
        <w:t xml:space="preserve">minimizando la pérdida esperada de predicción. Se identifican tres paradigmas [30], [37]:</w:t>
      </w:r>
    </w:p>
    <w:p>
      <w:pPr>
        <w:pStyle w:val="BodyText"/>
      </w:pPr>
      <w:r>
        <w:rPr>
          <w:bCs/>
          <w:b/>
        </w:rPr>
        <w:t xml:space="preserve">Predicción un paso adelante</w:t>
      </w:r>
      <w:r>
        <w:t xml:space="preserve"> </w:t>
      </w:r>
      <w:r>
        <w:t xml:space="preserve">(one-step ahead,</w:t>
      </w:r>
      <w:r>
        <w:t xml:space="preserve"> </w:t>
      </w:r>
      <m:oMath>
        <m:r>
          <m:t>τ</m:t>
        </m:r>
        <m:r>
          <m:rPr>
            <m:sty m:val="p"/>
          </m:rPr>
          <m:t>=</m:t>
        </m:r>
        <m:r>
          <m:t>1</m:t>
        </m:r>
      </m:oMath>
      <w:r>
        <w:t xml:space="preserve">):</w:t>
      </w:r>
    </w:p>
    <w:p>
      <w:pPr>
        <w:pStyle w:val="BodyText"/>
      </w:pPr>
      <m:oMathPara>
        <m:oMathParaPr>
          <m:jc m:val="center"/>
        </m:oMathParaPr>
        <m:oMath>
          <m:acc>
            <m:accPr>
              <m:chr m:val="̂"/>
            </m:accPr>
            <m:e>
              <m:r>
                <m:t>X</m:t>
              </m:r>
            </m:e>
          </m:acc>
          <m:d>
            <m:dPr>
              <m:begChr m:val="("/>
              <m:endChr m:val=")"/>
              <m:sepChr m:val=""/>
              <m:grow/>
            </m:dPr>
            <m:e>
              <m:r>
                <m:t>t</m:t>
              </m:r>
              <m:r>
                <m:rPr>
                  <m:sty m:val="p"/>
                </m:rPr>
                <m:t>+</m:t>
              </m:r>
              <m:r>
                <m:t>1</m:t>
              </m:r>
            </m:e>
          </m:d>
          <m:r>
            <m:rPr>
              <m:sty m:val="p"/>
            </m:rPr>
            <m:t>=</m:t>
          </m:r>
          <m:sSub>
            <m:e>
              <m:r>
                <m:t>f</m:t>
              </m:r>
            </m:e>
            <m:sub>
              <m:r>
                <m:t>θ</m:t>
              </m:r>
            </m:sub>
          </m:sSub>
          <m:r>
            <m:t>​</m:t>
          </m:r>
          <m:d>
            <m:dPr>
              <m:begChr m:val="("/>
              <m:endChr m:val=")"/>
              <m:sepChr m:val=""/>
              <m:grow/>
            </m:dPr>
            <m:e>
              <m:r>
                <m:t>X</m:t>
              </m:r>
              <m:d>
                <m:dPr>
                  <m:begChr m:val="("/>
                  <m:endChr m:val=")"/>
                  <m:sepChr m:val=""/>
                  <m:grow/>
                </m:dPr>
                <m:e>
                  <m:r>
                    <m:t>t</m:t>
                  </m:r>
                  <m:r>
                    <m:rPr>
                      <m:sty m:val="p"/>
                    </m:rPr>
                    <m:t>−</m:t>
                  </m:r>
                  <m:r>
                    <m:t>w</m:t>
                  </m:r>
                  <m:r>
                    <m:rPr>
                      <m:sty m:val="p"/>
                    </m:rPr>
                    <m:t>+</m:t>
                  </m:r>
                  <m:r>
                    <m:t>1</m:t>
                  </m:r>
                </m:e>
              </m:d>
              <m:r>
                <m:rPr>
                  <m:sty m:val="p"/>
                </m:rPr>
                <m:t>,</m:t>
              </m:r>
              <m:r>
                <m:rPr>
                  <m:sty m:val="p"/>
                </m:rPr>
                <m:t>…</m:t>
              </m:r>
              <m:r>
                <m:rPr>
                  <m:sty m:val="p"/>
                </m:rPr>
                <m:t>,</m:t>
              </m:r>
              <m:r>
                <m:t>X</m:t>
              </m:r>
              <m:d>
                <m:dPr>
                  <m:begChr m:val="("/>
                  <m:endChr m:val=")"/>
                  <m:sepChr m:val=""/>
                  <m:grow/>
                </m:dPr>
                <m:e>
                  <m:r>
                    <m:t>t</m:t>
                  </m:r>
                </m:e>
              </m:d>
              <m:r>
                <m:rPr>
                  <m:sty m:val="p"/>
                </m:rPr>
                <m:t>,</m:t>
              </m:r>
              <m:r>
                <m:t> </m:t>
              </m:r>
              <m:r>
                <m:rPr>
                  <m:sty m:val="b"/>
                </m:rPr>
                <m:t>z</m:t>
              </m:r>
              <m:d>
                <m:dPr>
                  <m:begChr m:val="("/>
                  <m:endChr m:val=")"/>
                  <m:sepChr m:val=""/>
                  <m:grow/>
                </m:dPr>
                <m:e>
                  <m:r>
                    <m:t>t</m:t>
                  </m:r>
                </m:e>
              </m:d>
            </m:e>
          </m:d>
        </m:oMath>
      </m:oMathPara>
    </w:p>
    <w:p>
      <w:pPr>
        <w:pStyle w:val="FirstParagraph"/>
      </w:pPr>
      <w:r>
        <w:rPr>
          <w:bCs/>
          <w:b/>
        </w:rPr>
        <w:t xml:space="preserve">Predicción multi-paso directa</w:t>
      </w:r>
      <w:r>
        <w:t xml:space="preserve">: se entrena un modelo separado</w:t>
      </w:r>
      <w:r>
        <w:t xml:space="preserve"> </w:t>
      </w:r>
      <m:oMath>
        <m:sSub>
          <m:e>
            <m:r>
              <m:t>f</m:t>
            </m:r>
          </m:e>
          <m:sub>
            <m:sSub>
              <m:e>
                <m:r>
                  <m:t>θ</m:t>
                </m:r>
              </m:e>
              <m:sub>
                <m:r>
                  <m:t>k</m:t>
                </m:r>
              </m:sub>
            </m:sSub>
          </m:sub>
        </m:sSub>
      </m:oMath>
      <w:r>
        <w:t xml:space="preserve"> </w:t>
      </w:r>
      <w:r>
        <w:t xml:space="preserve">por cada horizonte</w:t>
      </w:r>
      <w:r>
        <w:t xml:space="preserve"> </w:t>
      </w:r>
      <m:oMath>
        <m:r>
          <m:t>k</m:t>
        </m:r>
        <m:r>
          <m:rPr>
            <m:sty m:val="p"/>
          </m:rPr>
          <m:t>∈</m:t>
        </m:r>
        <m:r>
          <m:rPr>
            <m:sty m:val="p"/>
          </m:rPr>
          <m:t>{</m:t>
        </m:r>
        <m:r>
          <m:t>1</m:t>
        </m:r>
        <m:r>
          <m:rPr>
            <m:sty m:val="p"/>
          </m:rPr>
          <m:t>,</m:t>
        </m:r>
        <m:r>
          <m:rPr>
            <m:sty m:val="p"/>
          </m:rPr>
          <m:t>…</m:t>
        </m:r>
        <m:r>
          <m:rPr>
            <m:sty m:val="p"/>
          </m:rPr>
          <m:t>,</m:t>
        </m:r>
        <m:r>
          <m:t>τ</m:t>
        </m:r>
        <m:r>
          <m:rPr>
            <m:sty m:val="p"/>
          </m:rPr>
          <m:t>}</m:t>
        </m:r>
      </m:oMath>
      <w:r>
        <w:t xml:space="preserve">, garantizando ausencia de acumulación de errores al costo de</w:t>
      </w:r>
      <w:r>
        <w:t xml:space="preserve"> </w:t>
      </w:r>
      <m:oMath>
        <m:r>
          <m:t>τ</m:t>
        </m:r>
      </m:oMath>
      <w:r>
        <w:t xml:space="preserve"> </w:t>
      </w:r>
      <w:r>
        <w:t xml:space="preserve">veces más parámetros.</w:t>
      </w:r>
    </w:p>
    <w:p>
      <w:pPr>
        <w:pStyle w:val="BodyText"/>
      </w:pPr>
      <w:r>
        <w:rPr>
          <w:bCs/>
          <w:b/>
        </w:rPr>
        <w:t xml:space="preserve">Predicción secuencia-a-secuencia (Seq2Seq)</w:t>
      </w:r>
      <w:r>
        <w:t xml:space="preserve"> </w:t>
      </w:r>
      <w:r>
        <w:t xml:space="preserve">[30]: el modelo genera directamente toda la secuencia de salida en un único paso de inferencia:</w:t>
      </w:r>
    </w:p>
    <w:p>
      <w:pPr>
        <w:pStyle w:val="BodyText"/>
      </w:pPr>
      <m:oMathPara>
        <m:oMathParaPr>
          <m:jc m:val="center"/>
        </m:oMathParaPr>
        <m:oMath>
          <m:d>
            <m:dPr>
              <m:begChr m:val="["/>
              <m:endChr m:val="]"/>
              <m:sepChr m:val=""/>
              <m:grow/>
            </m:dPr>
            <m:e>
              <m:acc>
                <m:accPr>
                  <m:chr m:val="̂"/>
                </m:accPr>
                <m:e>
                  <m:r>
                    <m:t>X</m:t>
                  </m:r>
                </m:e>
              </m:acc>
              <m:d>
                <m:dPr>
                  <m:begChr m:val="("/>
                  <m:endChr m:val=")"/>
                  <m:sepChr m:val=""/>
                  <m:grow/>
                </m:dPr>
                <m:e>
                  <m:r>
                    <m:t>t</m:t>
                  </m:r>
                  <m:r>
                    <m:rPr>
                      <m:sty m:val="p"/>
                    </m:rPr>
                    <m:t>+</m:t>
                  </m:r>
                  <m:r>
                    <m:t>1</m:t>
                  </m:r>
                </m:e>
              </m:d>
              <m:r>
                <m:rPr>
                  <m:sty m:val="p"/>
                </m:rPr>
                <m:t>,</m:t>
              </m:r>
              <m:r>
                <m:rPr>
                  <m:sty m:val="p"/>
                </m:rPr>
                <m:t>…</m:t>
              </m:r>
              <m:r>
                <m:rPr>
                  <m:sty m:val="p"/>
                </m:rPr>
                <m:t>,</m:t>
              </m:r>
              <m:acc>
                <m:accPr>
                  <m:chr m:val="̂"/>
                </m:accPr>
                <m:e>
                  <m:r>
                    <m:t>X</m:t>
                  </m:r>
                </m:e>
              </m:acc>
              <m:d>
                <m:dPr>
                  <m:begChr m:val="("/>
                  <m:endChr m:val=")"/>
                  <m:sepChr m:val=""/>
                  <m:grow/>
                </m:dPr>
                <m:e>
                  <m:r>
                    <m:t>t</m:t>
                  </m:r>
                  <m:r>
                    <m:rPr>
                      <m:sty m:val="p"/>
                    </m:rPr>
                    <m:t>+</m:t>
                  </m:r>
                  <m:r>
                    <m:t>τ</m:t>
                  </m:r>
                </m:e>
              </m:d>
            </m:e>
          </m:d>
          <m:r>
            <m:rPr>
              <m:sty m:val="p"/>
            </m:rPr>
            <m:t>=</m:t>
          </m:r>
          <m:sSub>
            <m:e>
              <m:r>
                <m:t>f</m:t>
              </m:r>
            </m:e>
            <m:sub>
              <m:r>
                <m:t>θ</m:t>
              </m:r>
            </m:sub>
          </m:sSub>
          <m:r>
            <m:t>​</m:t>
          </m:r>
          <m:d>
            <m:dPr>
              <m:begChr m:val="("/>
              <m:endChr m:val=")"/>
              <m:sepChr m:val=""/>
              <m:grow/>
            </m:dPr>
            <m:e>
              <m:r>
                <m:t>X</m:t>
              </m:r>
              <m:d>
                <m:dPr>
                  <m:begChr m:val="("/>
                  <m:endChr m:val=")"/>
                  <m:sepChr m:val=""/>
                  <m:grow/>
                </m:dPr>
                <m:e>
                  <m:r>
                    <m:t>t</m:t>
                  </m:r>
                  <m:r>
                    <m:rPr>
                      <m:sty m:val="p"/>
                    </m:rPr>
                    <m:t>−</m:t>
                  </m:r>
                  <m:r>
                    <m:t>w</m:t>
                  </m:r>
                  <m:r>
                    <m:rPr>
                      <m:sty m:val="p"/>
                    </m:rPr>
                    <m:t>+</m:t>
                  </m:r>
                  <m:r>
                    <m:t>1</m:t>
                  </m:r>
                </m:e>
              </m:d>
              <m:r>
                <m:rPr>
                  <m:sty m:val="p"/>
                </m:rPr>
                <m:t>,</m:t>
              </m:r>
              <m:r>
                <m:rPr>
                  <m:sty m:val="p"/>
                </m:rPr>
                <m:t>…</m:t>
              </m:r>
              <m:r>
                <m:rPr>
                  <m:sty m:val="p"/>
                </m:rPr>
                <m:t>,</m:t>
              </m:r>
              <m:r>
                <m:t>X</m:t>
              </m:r>
              <m:d>
                <m:dPr>
                  <m:begChr m:val="("/>
                  <m:endChr m:val=")"/>
                  <m:sepChr m:val=""/>
                  <m:grow/>
                </m:dPr>
                <m:e>
                  <m:r>
                    <m:t>t</m:t>
                  </m:r>
                </m:e>
              </m:d>
            </m:e>
          </m:d>
        </m:oMath>
      </m:oMathPara>
    </w:p>
    <w:p>
      <w:pPr>
        <w:pStyle w:val="FirstParagraph"/>
      </w:pPr>
      <w:r>
        <w:t xml:space="preserve">La arquitectura propuesta implementa el paradigma Seq2Seq mediante un encoder-decoder con atención, por ser el más eficiente en latencia de inferencia (único forward pass) y por explotar dependencias entre los diferentes pasos de predicción de salida —ventajas críticas para gestión proactiva en tiempo real.</w:t>
      </w:r>
    </w:p>
    <w:bookmarkEnd w:id="36"/>
    <w:bookmarkStart w:id="37" w:name="Xd41beb97611b289e605226f3db8197acd05cb4e"/>
    <w:p>
      <w:pPr>
        <w:pStyle w:val="Heading3"/>
      </w:pPr>
      <w:r>
        <w:t xml:space="preserve">B. Arquitectura Encoder-Decoder con Atención de Bahdanau</w:t>
      </w:r>
    </w:p>
    <w:p>
      <w:pPr>
        <w:pStyle w:val="FirstParagraph"/>
      </w:pPr>
      <w:r>
        <w:t xml:space="preserve">El</w:t>
      </w:r>
      <w:r>
        <w:t xml:space="preserve"> </w:t>
      </w:r>
      <w:r>
        <w:rPr>
          <w:bCs/>
          <w:b/>
        </w:rPr>
        <w:t xml:space="preserve">encoder</w:t>
      </w:r>
      <w:r>
        <w:t xml:space="preserve"> </w:t>
      </w:r>
      <w:r>
        <w:t xml:space="preserve">procesa la representación fusionada de la ventana de entrada y produce una secuencia de</w:t>
      </w:r>
      <w:r>
        <w:t xml:space="preserve"> </w:t>
      </w:r>
      <m:oMath>
        <m:r>
          <m:t>T</m:t>
        </m:r>
      </m:oMath>
      <w:r>
        <w:t xml:space="preserve"> </w:t>
      </w:r>
      <w:r>
        <w:t xml:space="preserve">vectores de contexto latente:</w:t>
      </w:r>
    </w:p>
    <w:p>
      <w:pPr>
        <w:pStyle w:val="BodyText"/>
      </w:pPr>
      <m:oMathPara>
        <m:oMathParaPr>
          <m:jc m:val="center"/>
        </m:oMathParaPr>
        <m:oMath>
          <m:sSubSup>
            <m:e>
              <m:r>
                <m:t>h</m:t>
              </m:r>
            </m:e>
            <m:sub>
              <m:r>
                <m:t>i</m:t>
              </m:r>
            </m:sub>
            <m:sup>
              <m:d>
                <m:dPr>
                  <m:begChr m:val="("/>
                  <m:endChr m:val=")"/>
                  <m:sepChr m:val=""/>
                  <m:grow/>
                </m:dPr>
                <m:e>
                  <m:r>
                    <m:rPr>
                      <m:nor/>
                      <m:sty m:val="p"/>
                    </m:rPr>
                    <m:t>enc</m:t>
                  </m:r>
                </m:e>
              </m:d>
            </m:sup>
          </m:sSubSup>
          <m:r>
            <m:rPr>
              <m:sty m:val="p"/>
            </m:rPr>
            <m:t>=</m:t>
          </m:r>
          <m:sSub>
            <m:e>
              <m:r>
                <m:rPr>
                  <m:nor/>
                  <m:sty m:val="p"/>
                </m:rPr>
                <m:t>LSTM</m:t>
              </m:r>
            </m:e>
            <m:sub>
              <m:r>
                <m:rPr>
                  <m:nor/>
                  <m:sty m:val="p"/>
                </m:rPr>
                <m:t>enc</m:t>
              </m:r>
            </m:sub>
          </m:sSub>
          <m:r>
            <m:t>​</m:t>
          </m:r>
          <m:d>
            <m:dPr>
              <m:begChr m:val="("/>
              <m:endChr m:val=")"/>
              <m:sepChr m:val=""/>
              <m:grow/>
            </m:dPr>
            <m:e>
              <m:sSub>
                <m:e>
                  <m:acc>
                    <m:accPr>
                      <m:chr m:val="̃"/>
                    </m:accPr>
                    <m:e>
                      <m:r>
                        <m:t>x</m:t>
                      </m:r>
                    </m:e>
                  </m:acc>
                </m:e>
                <m:sub>
                  <m:r>
                    <m:t>i</m:t>
                  </m:r>
                </m:sub>
              </m:sSub>
              <m:r>
                <m:rPr>
                  <m:sty m:val="p"/>
                </m:rPr>
                <m:t>,</m:t>
              </m:r>
              <m:r>
                <m:t> </m:t>
              </m:r>
              <m:sSubSup>
                <m:e>
                  <m:r>
                    <m:t>h</m:t>
                  </m:r>
                </m:e>
                <m:sub>
                  <m:r>
                    <m:t>i</m:t>
                  </m:r>
                  <m:r>
                    <m:rPr>
                      <m:sty m:val="p"/>
                    </m:rPr>
                    <m:t>−</m:t>
                  </m:r>
                  <m:r>
                    <m:t>1</m:t>
                  </m:r>
                </m:sub>
                <m:sup>
                  <m:d>
                    <m:dPr>
                      <m:begChr m:val="("/>
                      <m:endChr m:val=")"/>
                      <m:sepChr m:val=""/>
                      <m:grow/>
                    </m:dPr>
                    <m:e>
                      <m:r>
                        <m:rPr>
                          <m:nor/>
                          <m:sty m:val="p"/>
                        </m:rPr>
                        <m:t>enc</m:t>
                      </m:r>
                    </m:e>
                  </m:d>
                </m:sup>
              </m:sSubSup>
            </m:e>
          </m:d>
          <m:r>
            <m:rPr>
              <m:sty m:val="p"/>
            </m:rPr>
            <m:t>,</m:t>
          </m:r>
          <m:r>
            <m:t> </m:t>
          </m:r>
          <m:r>
            <m:t>i</m:t>
          </m:r>
          <m:r>
            <m:rPr>
              <m:sty m:val="p"/>
            </m:rPr>
            <m:t>=</m:t>
          </m:r>
          <m:r>
            <m:t>1</m:t>
          </m:r>
          <m:r>
            <m:rPr>
              <m:sty m:val="p"/>
            </m:rPr>
            <m:t>,</m:t>
          </m:r>
          <m:r>
            <m:rPr>
              <m:sty m:val="p"/>
            </m:rPr>
            <m:t>…</m:t>
          </m:r>
          <m:r>
            <m:rPr>
              <m:sty m:val="p"/>
            </m:rPr>
            <m:t>,</m:t>
          </m:r>
          <m:r>
            <m:t>T</m:t>
          </m:r>
        </m:oMath>
      </m:oMathPara>
    </w:p>
    <w:p>
      <w:pPr>
        <w:pStyle w:val="FirstParagraph"/>
      </w:pPr>
      <w:r>
        <w:t xml:space="preserve">donde</w:t>
      </w:r>
      <w:r>
        <w:t xml:space="preserve"> </w:t>
      </w:r>
      <m:oMath>
        <m:sSub>
          <m:e>
            <m:acc>
              <m:accPr>
                <m:chr m:val="̃"/>
              </m:accPr>
              <m:e>
                <m:r>
                  <m:t>x</m:t>
                </m:r>
              </m:e>
            </m:acc>
          </m:e>
          <m:sub>
            <m:r>
              <m:t>i</m:t>
            </m:r>
          </m:sub>
        </m:sSub>
      </m:oMath>
      <w:r>
        <w:t xml:space="preserve"> </w:t>
      </w:r>
      <w:r>
        <w:t xml:space="preserve">es la representación multi-resolución fusionada del instante</w:t>
      </w:r>
      <w:r>
        <w:t xml:space="preserve"> </w:t>
      </w:r>
      <m:oMath>
        <m:r>
          <m:t>i</m:t>
        </m:r>
      </m:oMath>
      <w:r>
        <w:t xml:space="preserve"> </w:t>
      </w:r>
      <w:r>
        <w:t xml:space="preserve">(proveniente de la Capa 3). El encoder tiene 2 capas LSTM con 256 unidades y conexiones residuales con LayerNorm (Ec. 10).</w:t>
      </w:r>
    </w:p>
    <w:p>
      <w:pPr>
        <w:pStyle w:val="BodyText"/>
      </w:pPr>
      <w:r>
        <w:t xml:space="preserve">El</w:t>
      </w:r>
      <w:r>
        <w:t xml:space="preserve"> </w:t>
      </w:r>
      <w:r>
        <w:rPr>
          <w:bCs/>
          <w:b/>
        </w:rPr>
        <w:t xml:space="preserve">decoder</w:t>
      </w:r>
      <w:r>
        <w:t xml:space="preserve"> </w:t>
      </w:r>
      <w:r>
        <w:t xml:space="preserve">genera la secuencia de predicción paso a paso, condicionado dinámicamente en los estados del encoder mediante atención:</w:t>
      </w:r>
    </w:p>
    <w:p>
      <w:pPr>
        <w:pStyle w:val="BodyText"/>
      </w:pPr>
      <m:oMathPara>
        <m:oMathParaPr>
          <m:jc m:val="center"/>
        </m:oMathParaPr>
        <m:oMath>
          <m:sSubSup>
            <m:e>
              <m:r>
                <m:t>h</m:t>
              </m:r>
            </m:e>
            <m:sub>
              <m:r>
                <m:t>t</m:t>
              </m:r>
            </m:sub>
            <m:sup>
              <m:d>
                <m:dPr>
                  <m:begChr m:val="("/>
                  <m:endChr m:val=")"/>
                  <m:sepChr m:val=""/>
                  <m:grow/>
                </m:dPr>
                <m:e>
                  <m:r>
                    <m:rPr>
                      <m:nor/>
                      <m:sty m:val="p"/>
                    </m:rPr>
                    <m:t>dec</m:t>
                  </m:r>
                </m:e>
              </m:d>
            </m:sup>
          </m:sSubSup>
          <m:r>
            <m:rPr>
              <m:sty m:val="p"/>
            </m:rPr>
            <m:t>=</m:t>
          </m:r>
          <m:sSub>
            <m:e>
              <m:r>
                <m:rPr>
                  <m:nor/>
                  <m:sty m:val="p"/>
                </m:rPr>
                <m:t>LSTM</m:t>
              </m:r>
            </m:e>
            <m:sub>
              <m:r>
                <m:rPr>
                  <m:nor/>
                  <m:sty m:val="p"/>
                </m:rPr>
                <m:t>dec</m:t>
              </m:r>
            </m:sub>
          </m:sSub>
          <m:r>
            <m:t>​</m:t>
          </m:r>
          <m:d>
            <m:dPr>
              <m:begChr m:val="("/>
              <m:endChr m:val=")"/>
              <m:sepChr m:val=""/>
              <m:grow/>
            </m:dPr>
            <m:e>
              <m:sSub>
                <m:e>
                  <m:acc>
                    <m:accPr>
                      <m:chr m:val="̂"/>
                    </m:accPr>
                    <m:e>
                      <m:r>
                        <m:t>y</m:t>
                      </m:r>
                    </m:e>
                  </m:acc>
                </m:e>
                <m:sub>
                  <m:r>
                    <m:t>t</m:t>
                  </m:r>
                  <m:r>
                    <m:rPr>
                      <m:sty m:val="p"/>
                    </m:rPr>
                    <m:t>−</m:t>
                  </m:r>
                  <m:r>
                    <m:t>1</m:t>
                  </m:r>
                </m:sub>
              </m:sSub>
              <m:r>
                <m:rPr>
                  <m:sty m:val="p"/>
                </m:rPr>
                <m:t>,</m:t>
              </m:r>
              <m:r>
                <m:t> </m:t>
              </m:r>
              <m:sSubSup>
                <m:e>
                  <m:r>
                    <m:t>h</m:t>
                  </m:r>
                </m:e>
                <m:sub>
                  <m:r>
                    <m:t>t</m:t>
                  </m:r>
                  <m:r>
                    <m:rPr>
                      <m:sty m:val="p"/>
                    </m:rPr>
                    <m:t>−</m:t>
                  </m:r>
                  <m:r>
                    <m:t>1</m:t>
                  </m:r>
                </m:sub>
                <m:sup>
                  <m:d>
                    <m:dPr>
                      <m:begChr m:val="("/>
                      <m:endChr m:val=")"/>
                      <m:sepChr m:val=""/>
                      <m:grow/>
                    </m:dPr>
                    <m:e>
                      <m:r>
                        <m:rPr>
                          <m:nor/>
                          <m:sty m:val="p"/>
                        </m:rPr>
                        <m:t>dec</m:t>
                      </m:r>
                    </m:e>
                  </m:d>
                </m:sup>
              </m:sSubSup>
              <m:r>
                <m:rPr>
                  <m:sty m:val="p"/>
                </m:rPr>
                <m:t>,</m:t>
              </m:r>
              <m:r>
                <m:t> </m:t>
              </m:r>
              <m:sSub>
                <m:e>
                  <m:r>
                    <m:t>c</m:t>
                  </m:r>
                </m:e>
                <m:sub>
                  <m:r>
                    <m:t>t</m:t>
                  </m:r>
                </m:sub>
              </m:sSub>
            </m:e>
          </m:d>
          <m:r>
            <m:rPr>
              <m:sty m:val="p"/>
            </m:rPr>
            <m:t>,</m:t>
          </m:r>
          <m:r>
            <m:t> </m:t>
          </m:r>
          <m:sSub>
            <m:e>
              <m:acc>
                <m:accPr>
                  <m:chr m:val="̂"/>
                </m:accPr>
                <m:e>
                  <m:r>
                    <m:t>y</m:t>
                  </m:r>
                </m:e>
              </m:acc>
            </m:e>
            <m:sub>
              <m:r>
                <m:t>t</m:t>
              </m:r>
            </m:sub>
          </m:sSub>
          <m:r>
            <m:rPr>
              <m:sty m:val="p"/>
            </m:rPr>
            <m:t>=</m:t>
          </m:r>
          <m:sSub>
            <m:e>
              <m:r>
                <m:t>W</m:t>
              </m:r>
            </m:e>
            <m:sub>
              <m:r>
                <m:t>o</m:t>
              </m:r>
            </m:sub>
          </m:sSub>
          <m:sSubSup>
            <m:e>
              <m:r>
                <m:t>h</m:t>
              </m:r>
            </m:e>
            <m:sub>
              <m:r>
                <m:t>t</m:t>
              </m:r>
            </m:sub>
            <m:sup>
              <m:d>
                <m:dPr>
                  <m:begChr m:val="("/>
                  <m:endChr m:val=")"/>
                  <m:sepChr m:val=""/>
                  <m:grow/>
                </m:dPr>
                <m:e>
                  <m:r>
                    <m:rPr>
                      <m:nor/>
                      <m:sty m:val="p"/>
                    </m:rPr>
                    <m:t>dec</m:t>
                  </m:r>
                </m:e>
              </m:d>
            </m:sup>
          </m:sSubSup>
          <m:r>
            <m:rPr>
              <m:sty m:val="p"/>
            </m:rPr>
            <m:t>+</m:t>
          </m:r>
          <m:sSub>
            <m:e>
              <m:r>
                <m:t>b</m:t>
              </m:r>
            </m:e>
            <m:sub>
              <m:r>
                <m:t>o</m:t>
              </m:r>
            </m:sub>
          </m:sSub>
        </m:oMath>
      </m:oMathPara>
    </w:p>
    <w:p>
      <w:pPr>
        <w:pStyle w:val="FirstParagraph"/>
      </w:pPr>
      <w:r>
        <w:t xml:space="preserve">donde</w:t>
      </w:r>
      <w:r>
        <w:t xml:space="preserve"> </w:t>
      </w:r>
      <m:oMath>
        <m:sSub>
          <m:e>
            <m:r>
              <m:t>c</m:t>
            </m:r>
          </m:e>
          <m:sub>
            <m:r>
              <m:t>t</m:t>
            </m:r>
          </m:sub>
        </m:sSub>
      </m:oMath>
      <w:r>
        <w:t xml:space="preserve"> </w:t>
      </w:r>
      <w:r>
        <w:t xml:space="preserve">es el vector de contexto dinámico de la atención,</w:t>
      </w:r>
      <w:r>
        <w:t xml:space="preserve"> </w:t>
      </w:r>
      <m:oMath>
        <m:sSubSup>
          <m:e>
            <m:r>
              <m:t>h</m:t>
            </m:r>
          </m:e>
          <m:sub>
            <m:r>
              <m:t>0</m:t>
            </m:r>
          </m:sub>
          <m:sup>
            <m:d>
              <m:dPr>
                <m:begChr m:val="("/>
                <m:endChr m:val=")"/>
                <m:sepChr m:val=""/>
                <m:grow/>
              </m:dPr>
              <m:e>
                <m:r>
                  <m:rPr>
                    <m:nor/>
                    <m:sty m:val="p"/>
                  </m:rPr>
                  <m:t>dec</m:t>
                </m:r>
              </m:e>
            </m:d>
          </m:sup>
        </m:sSubSup>
        <m:r>
          <m:rPr>
            <m:sty m:val="p"/>
          </m:rPr>
          <m:t>=</m:t>
        </m:r>
        <m:sSubSup>
          <m:e>
            <m:r>
              <m:t>h</m:t>
            </m:r>
          </m:e>
          <m:sub>
            <m:r>
              <m:t>T</m:t>
            </m:r>
          </m:sub>
          <m:sup>
            <m:d>
              <m:dPr>
                <m:begChr m:val="("/>
                <m:endChr m:val=")"/>
                <m:sepChr m:val=""/>
                <m:grow/>
              </m:dPr>
              <m:e>
                <m:r>
                  <m:rPr>
                    <m:nor/>
                    <m:sty m:val="p"/>
                  </m:rPr>
                  <m:t>enc</m:t>
                </m:r>
              </m:e>
            </m:d>
          </m:sup>
        </m:sSubSup>
      </m:oMath>
      <w:r>
        <w:t xml:space="preserve"> </w:t>
      </w:r>
      <w:r>
        <w:t xml:space="preserve">(inicialización desde el estado final del encoder), y</w:t>
      </w:r>
      <w:r>
        <w:t xml:space="preserve"> </w:t>
      </w:r>
      <m:oMath>
        <m:sSub>
          <m:e>
            <m:acc>
              <m:accPr>
                <m:chr m:val="̂"/>
              </m:accPr>
              <m:e>
                <m:r>
                  <m:t>y</m:t>
                </m:r>
              </m:e>
            </m:acc>
          </m:e>
          <m:sub>
            <m:r>
              <m:t>0</m:t>
            </m:r>
          </m:sub>
        </m:sSub>
        <m:r>
          <m:rPr>
            <m:sty m:val="p"/>
          </m:rPr>
          <m:t>=</m:t>
        </m:r>
        <m:r>
          <m:t>X</m:t>
        </m:r>
        <m:d>
          <m:dPr>
            <m:begChr m:val="("/>
            <m:endChr m:val=")"/>
            <m:sepChr m:val=""/>
            <m:grow/>
          </m:dPr>
          <m:e>
            <m:r>
              <m:t>t</m:t>
            </m:r>
          </m:e>
        </m:d>
      </m:oMath>
      <w:r>
        <w:t xml:space="preserve"> </w:t>
      </w:r>
      <w:r>
        <w:t xml:space="preserve">(el último valor observado como</w:t>
      </w:r>
      <w:r>
        <w:t xml:space="preserve"> </w:t>
      </w:r>
      <w:r>
        <w:t xml:space="preserve">“</w:t>
      </w:r>
      <w:r>
        <w:t xml:space="preserve">arranque</w:t>
      </w:r>
      <w:r>
        <w:t xml:space="preserve">”</w:t>
      </w:r>
      <w:r>
        <w:t xml:space="preserve">). Durante el entrenamiento se aplica</w:t>
      </w:r>
      <w:r>
        <w:t xml:space="preserve"> </w:t>
      </w:r>
      <w:r>
        <w:rPr>
          <w:iCs/>
          <w:i/>
        </w:rPr>
        <w:t xml:space="preserve">teacher forcing</w:t>
      </w:r>
      <w:r>
        <w:t xml:space="preserve"> </w:t>
      </w:r>
      <w:r>
        <w:t xml:space="preserve">con ratio decreciente (de 1.0 a 0.0 durante las primeras 50 épocas) para equilibrar velocidad de convergencia y robustez a errores acumulados en inferencia.</w:t>
      </w:r>
    </w:p>
    <w:bookmarkEnd w:id="37"/>
    <w:bookmarkStart w:id="38" w:name="c-mecanismo-de-atención-de-bahdanau"/>
    <w:p>
      <w:pPr>
        <w:pStyle w:val="Heading3"/>
      </w:pPr>
      <w:r>
        <w:t xml:space="preserve">C. Mecanismo de Atención de Bahdanau</w:t>
      </w:r>
    </w:p>
    <w:p>
      <w:pPr>
        <w:pStyle w:val="FirstParagraph"/>
      </w:pPr>
      <w:r>
        <w:t xml:space="preserve">El mecanismo de atención de Bahdanau [15] computa, para cada paso</w:t>
      </w:r>
      <w:r>
        <w:t xml:space="preserve"> </w:t>
      </w:r>
      <m:oMath>
        <m:r>
          <m:t>t</m:t>
        </m:r>
      </m:oMath>
      <w:r>
        <w:t xml:space="preserve"> </w:t>
      </w:r>
      <w:r>
        <w:t xml:space="preserve">del decoder, un vector de contexto</w:t>
      </w:r>
      <w:r>
        <w:t xml:space="preserve"> </w:t>
      </w:r>
      <m:oMath>
        <m:sSub>
          <m:e>
            <m:r>
              <m:t>c</m:t>
            </m:r>
          </m:e>
          <m:sub>
            <m:r>
              <m:t>t</m:t>
            </m:r>
          </m:sub>
        </m:sSub>
      </m:oMath>
      <w:r>
        <w:t xml:space="preserve"> </w:t>
      </w:r>
      <w:r>
        <w:t xml:space="preserve">que es una combinación convexa de todos los estados del encoder, ponderada por la relevancia de cada instante histórico:</w:t>
      </w:r>
    </w:p>
    <w:p>
      <w:pPr>
        <w:pStyle w:val="BodyText"/>
      </w:pPr>
      <w:r>
        <w:rPr>
          <w:bCs/>
          <w:b/>
        </w:rPr>
        <w:t xml:space="preserve">Cómputo de score de alineación</w:t>
      </w:r>
      <w:r>
        <w:t xml:space="preserve"> </w:t>
      </w:r>
      <w:r>
        <w:t xml:space="preserve">(función aditiva de dos capas):</w:t>
      </w:r>
    </w:p>
    <w:p>
      <w:pPr>
        <w:pStyle w:val="BodyText"/>
      </w:pPr>
      <m:oMathPara>
        <m:oMathParaPr>
          <m:jc m:val="center"/>
        </m:oMathParaPr>
        <m:oMath>
          <m:sSub>
            <m:e>
              <m:r>
                <m:t>e</m:t>
              </m:r>
            </m:e>
            <m:sub>
              <m:r>
                <m:t>t</m:t>
              </m:r>
              <m:r>
                <m:rPr>
                  <m:sty m:val="p"/>
                </m:rPr>
                <m:t>,</m:t>
              </m:r>
              <m:r>
                <m:t>i</m:t>
              </m:r>
            </m:sub>
          </m:sSub>
          <m:r>
            <m:rPr>
              <m:sty m:val="p"/>
            </m:rPr>
            <m:t>=</m:t>
          </m:r>
          <m:sSubSup>
            <m:e>
              <m:r>
                <m:t>v</m:t>
              </m:r>
            </m:e>
            <m:sub>
              <m:r>
                <m:t>a</m:t>
              </m:r>
            </m:sub>
            <m:sup>
              <m:r>
                <m:t>T</m:t>
              </m:r>
            </m:sup>
          </m:sSubSup>
          <m:r>
            <m:rPr>
              <m:sty m:val="p"/>
            </m:rPr>
            <m:t>tanh</m:t>
          </m:r>
          <m:r>
            <m:t>​</m:t>
          </m:r>
          <m:d>
            <m:dPr>
              <m:begChr m:val="("/>
              <m:endChr m:val=")"/>
              <m:sepChr m:val=""/>
              <m:grow/>
            </m:dPr>
            <m:e>
              <m:sSub>
                <m:e>
                  <m:r>
                    <m:t>W</m:t>
                  </m:r>
                </m:e>
                <m:sub>
                  <m:r>
                    <m:t>1</m:t>
                  </m:r>
                </m:sub>
              </m:sSub>
              <m:r>
                <m:t> </m:t>
              </m:r>
              <m:sSubSup>
                <m:e>
                  <m:r>
                    <m:t>h</m:t>
                  </m:r>
                </m:e>
                <m:sub>
                  <m:r>
                    <m:t>t</m:t>
                  </m:r>
                </m:sub>
                <m:sup>
                  <m:d>
                    <m:dPr>
                      <m:begChr m:val="("/>
                      <m:endChr m:val=")"/>
                      <m:sepChr m:val=""/>
                      <m:grow/>
                    </m:dPr>
                    <m:e>
                      <m:r>
                        <m:rPr>
                          <m:nor/>
                          <m:sty m:val="p"/>
                        </m:rPr>
                        <m:t>dec</m:t>
                      </m:r>
                    </m:e>
                  </m:d>
                </m:sup>
              </m:sSubSup>
              <m:r>
                <m:rPr>
                  <m:sty m:val="p"/>
                </m:rPr>
                <m:t>+</m:t>
              </m:r>
              <m:sSub>
                <m:e>
                  <m:r>
                    <m:t>W</m:t>
                  </m:r>
                </m:e>
                <m:sub>
                  <m:r>
                    <m:t>2</m:t>
                  </m:r>
                </m:sub>
              </m:sSub>
              <m:r>
                <m:t> </m:t>
              </m:r>
              <m:sSubSup>
                <m:e>
                  <m:r>
                    <m:t>h</m:t>
                  </m:r>
                </m:e>
                <m:sub>
                  <m:r>
                    <m:t>i</m:t>
                  </m:r>
                </m:sub>
                <m:sup>
                  <m:d>
                    <m:dPr>
                      <m:begChr m:val="("/>
                      <m:endChr m:val=")"/>
                      <m:sepChr m:val=""/>
                      <m:grow/>
                    </m:dPr>
                    <m:e>
                      <m:r>
                        <m:rPr>
                          <m:nor/>
                          <m:sty m:val="p"/>
                        </m:rPr>
                        <m:t>enc</m:t>
                      </m:r>
                    </m:e>
                  </m:d>
                </m:sup>
              </m:sSubSup>
              <m:r>
                <m:rPr>
                  <m:sty m:val="p"/>
                </m:rPr>
                <m:t>+</m:t>
              </m:r>
              <m:sSub>
                <m:e>
                  <m:r>
                    <m:t>b</m:t>
                  </m:r>
                </m:e>
                <m:sub>
                  <m:r>
                    <m:t>a</m:t>
                  </m:r>
                </m:sub>
              </m:sSub>
            </m:e>
          </m:d>
        </m:oMath>
      </m:oMathPara>
    </w:p>
    <w:p>
      <w:pPr>
        <w:pStyle w:val="FirstParagraph"/>
      </w:pPr>
      <w:r>
        <w:t xml:space="preserve">donde</w:t>
      </w:r>
      <w:r>
        <w:t xml:space="preserve"> </w:t>
      </w:r>
      <m:oMath>
        <m:sSub>
          <m:e>
            <m:r>
              <m:t>W</m:t>
            </m:r>
          </m:e>
          <m:sub>
            <m:r>
              <m:t>1</m:t>
            </m:r>
          </m:sub>
        </m:sSub>
        <m:r>
          <m:rPr>
            <m:sty m:val="p"/>
          </m:rPr>
          <m:t>∈</m:t>
        </m:r>
        <m:sSup>
          <m:e>
            <m:r>
              <m:rPr>
                <m:sty m:val="p"/>
                <m:scr m:val="double-struck"/>
              </m:rPr>
              <m:t>R</m:t>
            </m:r>
          </m:e>
          <m:sup>
            <m:sSub>
              <m:e>
                <m:r>
                  <m:t>d</m:t>
                </m:r>
              </m:e>
              <m:sub>
                <m:r>
                  <m:t>a</m:t>
                </m:r>
              </m:sub>
            </m:sSub>
            <m:r>
              <m:rPr>
                <m:sty m:val="p"/>
              </m:rPr>
              <m:t>×</m:t>
            </m:r>
            <m:sSub>
              <m:e>
                <m:r>
                  <m:t>d</m:t>
                </m:r>
              </m:e>
              <m:sub>
                <m:r>
                  <m:t>h</m:t>
                </m:r>
              </m:sub>
            </m:sSub>
          </m:sup>
        </m:sSup>
      </m:oMath>
      <w:r>
        <w:t xml:space="preserve">,</w:t>
      </w:r>
      <w:r>
        <w:t xml:space="preserve"> </w:t>
      </w:r>
      <m:oMath>
        <m:sSub>
          <m:e>
            <m:r>
              <m:t>W</m:t>
            </m:r>
          </m:e>
          <m:sub>
            <m:r>
              <m:t>2</m:t>
            </m:r>
          </m:sub>
        </m:sSub>
        <m:r>
          <m:rPr>
            <m:sty m:val="p"/>
          </m:rPr>
          <m:t>∈</m:t>
        </m:r>
        <m:sSup>
          <m:e>
            <m:r>
              <m:rPr>
                <m:sty m:val="p"/>
                <m:scr m:val="double-struck"/>
              </m:rPr>
              <m:t>R</m:t>
            </m:r>
          </m:e>
          <m:sup>
            <m:sSub>
              <m:e>
                <m:r>
                  <m:t>d</m:t>
                </m:r>
              </m:e>
              <m:sub>
                <m:r>
                  <m:t>a</m:t>
                </m:r>
              </m:sub>
            </m:sSub>
            <m:r>
              <m:rPr>
                <m:sty m:val="p"/>
              </m:rPr>
              <m:t>×</m:t>
            </m:r>
            <m:sSub>
              <m:e>
                <m:r>
                  <m:t>d</m:t>
                </m:r>
              </m:e>
              <m:sub>
                <m:r>
                  <m:t>h</m:t>
                </m:r>
              </m:sub>
            </m:sSub>
          </m:sup>
        </m:sSup>
      </m:oMath>
      <w:r>
        <w:t xml:space="preserve">,</w:t>
      </w:r>
      <w:r>
        <w:t xml:space="preserve"> </w:t>
      </w:r>
      <m:oMath>
        <m:sSub>
          <m:e>
            <m:r>
              <m:t>v</m:t>
            </m:r>
          </m:e>
          <m:sub>
            <m:r>
              <m:t>a</m:t>
            </m:r>
          </m:sub>
        </m:sSub>
        <m:r>
          <m:rPr>
            <m:sty m:val="p"/>
          </m:rPr>
          <m:t>∈</m:t>
        </m:r>
        <m:sSup>
          <m:e>
            <m:r>
              <m:rPr>
                <m:sty m:val="p"/>
                <m:scr m:val="double-struck"/>
              </m:rPr>
              <m:t>R</m:t>
            </m:r>
          </m:e>
          <m:sup>
            <m:sSub>
              <m:e>
                <m:r>
                  <m:t>d</m:t>
                </m:r>
              </m:e>
              <m:sub>
                <m:r>
                  <m:t>a</m:t>
                </m:r>
              </m:sub>
            </m:sSub>
          </m:sup>
        </m:sSup>
      </m:oMath>
      <w:r>
        <w:t xml:space="preserve"> </w:t>
      </w:r>
      <w:r>
        <w:t xml:space="preserve">son parámetros aprendibles (con</w:t>
      </w:r>
      <w:r>
        <w:t xml:space="preserve"> </w:t>
      </w:r>
      <m:oMath>
        <m:sSub>
          <m:e>
            <m:r>
              <m:t>d</m:t>
            </m:r>
          </m:e>
          <m:sub>
            <m:r>
              <m:t>a</m:t>
            </m:r>
          </m:sub>
        </m:sSub>
        <m:r>
          <m:rPr>
            <m:sty m:val="p"/>
          </m:rPr>
          <m:t>=</m:t>
        </m:r>
        <m:r>
          <m:t>128</m:t>
        </m:r>
      </m:oMath>
      <w:r>
        <w:t xml:space="preserve">).</w:t>
      </w:r>
    </w:p>
    <w:p>
      <w:pPr>
        <w:pStyle w:val="BodyText"/>
      </w:pPr>
      <w:r>
        <w:rPr>
          <w:bCs/>
          <w:b/>
        </w:rPr>
        <w:t xml:space="preserve">Normalización mediante softmax</w:t>
      </w:r>
      <w:r>
        <w:t xml:space="preserve">:</w:t>
      </w:r>
    </w:p>
    <w:p>
      <w:pPr>
        <w:pStyle w:val="BodyText"/>
      </w:pPr>
      <m:oMathPara>
        <m:oMathParaPr>
          <m:jc m:val="center"/>
        </m:oMathParaPr>
        <m:oMath>
          <m:sSub>
            <m:e>
              <m:r>
                <m:t>α</m:t>
              </m:r>
            </m:e>
            <m:sub>
              <m:r>
                <m:t>t</m:t>
              </m:r>
              <m:r>
                <m:rPr>
                  <m:sty m:val="p"/>
                </m:rPr>
                <m:t>,</m:t>
              </m:r>
              <m:r>
                <m:t>i</m:t>
              </m:r>
            </m:sub>
          </m:sSub>
          <m:r>
            <m:rPr>
              <m:sty m:val="p"/>
            </m:rPr>
            <m:t>=</m:t>
          </m:r>
          <m:f>
            <m:fPr>
              <m:type m:val="bar"/>
            </m:fPr>
            <m:num>
              <m:r>
                <m:rPr>
                  <m:sty m:val="p"/>
                </m:rPr>
                <m:t>exp</m:t>
              </m:r>
              <m:d>
                <m:dPr>
                  <m:begChr m:val="("/>
                  <m:endChr m:val=")"/>
                  <m:sepChr m:val=""/>
                  <m:grow/>
                </m:dPr>
                <m:e>
                  <m:sSub>
                    <m:e>
                      <m:r>
                        <m:t>e</m:t>
                      </m:r>
                    </m:e>
                    <m:sub>
                      <m:r>
                        <m:t>t</m:t>
                      </m:r>
                      <m:r>
                        <m:rPr>
                          <m:sty m:val="p"/>
                        </m:rPr>
                        <m:t>,</m:t>
                      </m:r>
                      <m:r>
                        <m:t>i</m:t>
                      </m:r>
                    </m:sub>
                  </m:sSub>
                </m:e>
              </m:d>
            </m:num>
            <m:den>
              <m:nary>
                <m:naryPr>
                  <m:chr m:val="∑"/>
                  <m:limLoc m:val="undOvr"/>
                  <m:subHide m:val="0"/>
                  <m:supHide m:val="0"/>
                </m:naryPr>
                <m:sub>
                  <m:r>
                    <m:t>j</m:t>
                  </m:r>
                  <m:r>
                    <m:rPr>
                      <m:sty m:val="p"/>
                    </m:rPr>
                    <m:t>=</m:t>
                  </m:r>
                  <m:r>
                    <m:t>1</m:t>
                  </m:r>
                </m:sub>
                <m:sup>
                  <m:r>
                    <m:t>T</m:t>
                  </m:r>
                </m:sup>
                <m:e>
                  <m:r>
                    <m:rPr>
                      <m:sty m:val="p"/>
                    </m:rPr>
                    <m:t>exp</m:t>
                  </m:r>
                </m:e>
              </m:nary>
              <m:d>
                <m:dPr>
                  <m:begChr m:val="("/>
                  <m:endChr m:val=")"/>
                  <m:sepChr m:val=""/>
                  <m:grow/>
                </m:dPr>
                <m:e>
                  <m:sSub>
                    <m:e>
                      <m:r>
                        <m:t>e</m:t>
                      </m:r>
                    </m:e>
                    <m:sub>
                      <m:r>
                        <m:t>t</m:t>
                      </m:r>
                      <m:r>
                        <m:rPr>
                          <m:sty m:val="p"/>
                        </m:rPr>
                        <m:t>,</m:t>
                      </m:r>
                      <m:r>
                        <m:t>j</m:t>
                      </m:r>
                    </m:sub>
                  </m:sSub>
                </m:e>
              </m:d>
            </m:den>
          </m:f>
          <m:r>
            <m:rPr>
              <m:sty m:val="p"/>
            </m:rPr>
            <m:t>,</m:t>
          </m:r>
          <m:r>
            <m:t> </m:t>
          </m:r>
          <m:r>
            <m:rPr>
              <m:nor/>
              <m:sty m:val="p"/>
            </m:rPr>
            <m:t>con </m:t>
          </m:r>
          <m:nary>
            <m:naryPr>
              <m:chr m:val="∑"/>
              <m:limLoc m:val="undOvr"/>
              <m:subHide m:val="0"/>
              <m:supHide m:val="0"/>
            </m:naryPr>
            <m:sub>
              <m:r>
                <m:t>i</m:t>
              </m:r>
              <m:r>
                <m:rPr>
                  <m:sty m:val="p"/>
                </m:rPr>
                <m:t>=</m:t>
              </m:r>
              <m:r>
                <m:t>1</m:t>
              </m:r>
            </m:sub>
            <m:sup>
              <m:r>
                <m:t>T</m:t>
              </m:r>
            </m:sup>
            <m:e>
              <m:sSub>
                <m:e>
                  <m:r>
                    <m:t>α</m:t>
                  </m:r>
                </m:e>
                <m:sub>
                  <m:r>
                    <m:t>t</m:t>
                  </m:r>
                  <m:r>
                    <m:rPr>
                      <m:sty m:val="p"/>
                    </m:rPr>
                    <m:t>,</m:t>
                  </m:r>
                  <m:r>
                    <m:t>i</m:t>
                  </m:r>
                </m:sub>
              </m:sSub>
            </m:e>
          </m:nary>
          <m:r>
            <m:rPr>
              <m:sty m:val="p"/>
            </m:rPr>
            <m:t>=</m:t>
          </m:r>
          <m:r>
            <m:t>1</m:t>
          </m:r>
          <m:r>
            <m:rPr>
              <m:sty m:val="p"/>
            </m:rPr>
            <m:t>,</m:t>
          </m:r>
          <m:r>
            <m:t> </m:t>
          </m:r>
          <m:sSub>
            <m:e>
              <m:r>
                <m:t>α</m:t>
              </m:r>
            </m:e>
            <m:sub>
              <m:r>
                <m:t>t</m:t>
              </m:r>
              <m:r>
                <m:rPr>
                  <m:sty m:val="p"/>
                </m:rPr>
                <m:t>,</m:t>
              </m:r>
              <m:r>
                <m:t>i</m:t>
              </m:r>
            </m:sub>
          </m:sSub>
          <m:r>
            <m:rPr>
              <m:sty m:val="p"/>
            </m:rPr>
            <m:t>≥</m:t>
          </m:r>
          <m:r>
            <m:t>0</m:t>
          </m:r>
        </m:oMath>
      </m:oMathPara>
    </w:p>
    <w:p>
      <w:pPr>
        <w:pStyle w:val="FirstParagraph"/>
      </w:pPr>
      <w:r>
        <w:rPr>
          <w:bCs/>
          <w:b/>
        </w:rPr>
        <w:t xml:space="preserve">Vector de contexto</w:t>
      </w:r>
      <w:r>
        <w:t xml:space="preserve"> </w:t>
      </w:r>
      <w:r>
        <w:t xml:space="preserve">como promedio ponderado de estados del encoder:</w:t>
      </w:r>
    </w:p>
    <w:p>
      <w:pPr>
        <w:pStyle w:val="BodyText"/>
      </w:pPr>
      <m:oMathPara>
        <m:oMathParaPr>
          <m:jc m:val="center"/>
        </m:oMathParaPr>
        <m:oMath>
          <m:sSub>
            <m:e>
              <m:r>
                <m:t>c</m:t>
              </m:r>
            </m:e>
            <m:sub>
              <m:r>
                <m:t>t</m:t>
              </m:r>
            </m:sub>
          </m:sSub>
          <m:r>
            <m:rPr>
              <m:sty m:val="p"/>
            </m:rPr>
            <m:t>=</m:t>
          </m:r>
          <m:nary>
            <m:naryPr>
              <m:chr m:val="∑"/>
              <m:limLoc m:val="undOvr"/>
              <m:subHide m:val="0"/>
              <m:supHide m:val="0"/>
            </m:naryPr>
            <m:sub>
              <m:r>
                <m:t>i</m:t>
              </m:r>
              <m:r>
                <m:rPr>
                  <m:sty m:val="p"/>
                </m:rPr>
                <m:t>=</m:t>
              </m:r>
              <m:r>
                <m:t>1</m:t>
              </m:r>
            </m:sub>
            <m:sup>
              <m:r>
                <m:t>T</m:t>
              </m:r>
            </m:sup>
            <m:e>
              <m:sSub>
                <m:e>
                  <m:r>
                    <m:t>α</m:t>
                  </m:r>
                </m:e>
                <m:sub>
                  <m:r>
                    <m:t>t</m:t>
                  </m:r>
                  <m:r>
                    <m:rPr>
                      <m:sty m:val="p"/>
                    </m:rPr>
                    <m:t>,</m:t>
                  </m:r>
                  <m:r>
                    <m:t>i</m:t>
                  </m:r>
                </m:sub>
              </m:sSub>
            </m:e>
          </m:nary>
          <m:r>
            <m:t> </m:t>
          </m:r>
          <m:sSubSup>
            <m:e>
              <m:r>
                <m:t>h</m:t>
              </m:r>
            </m:e>
            <m:sub>
              <m:r>
                <m:t>i</m:t>
              </m:r>
            </m:sub>
            <m:sup>
              <m:d>
                <m:dPr>
                  <m:begChr m:val="("/>
                  <m:endChr m:val=")"/>
                  <m:sepChr m:val=""/>
                  <m:grow/>
                </m:dPr>
                <m:e>
                  <m:r>
                    <m:rPr>
                      <m:nor/>
                      <m:sty m:val="p"/>
                    </m:rPr>
                    <m:t>enc</m:t>
                  </m:r>
                </m:e>
              </m:d>
            </m:sup>
          </m:sSubSup>
        </m:oMath>
      </m:oMathPara>
    </w:p>
    <w:p>
      <w:pPr>
        <w:pStyle w:val="FirstParagraph"/>
      </w:pPr>
      <w:r>
        <w:rPr>
          <w:bCs/>
          <w:b/>
        </w:rPr>
        <w:t xml:space="preserve">Estado del decoder aumentado</w:t>
      </w:r>
      <w:r>
        <w:t xml:space="preserve"> </w:t>
      </w:r>
      <w:r>
        <w:t xml:space="preserve">e incorporación al decoder:</w:t>
      </w:r>
    </w:p>
    <w:p>
      <w:pPr>
        <w:pStyle w:val="BodyText"/>
      </w:pPr>
      <m:oMathPara>
        <m:oMathParaPr>
          <m:jc m:val="center"/>
        </m:oMathParaPr>
        <m:oMath>
          <m:sSubSup>
            <m:e>
              <m:acc>
                <m:accPr>
                  <m:chr m:val="̃"/>
                </m:accPr>
                <m:e>
                  <m:r>
                    <m:t>h</m:t>
                  </m:r>
                </m:e>
              </m:acc>
            </m:e>
            <m:sub>
              <m:r>
                <m:t>t</m:t>
              </m:r>
            </m:sub>
            <m:sup>
              <m:d>
                <m:dPr>
                  <m:begChr m:val="("/>
                  <m:endChr m:val=")"/>
                  <m:sepChr m:val=""/>
                  <m:grow/>
                </m:dPr>
                <m:e>
                  <m:r>
                    <m:rPr>
                      <m:nor/>
                      <m:sty m:val="p"/>
                    </m:rPr>
                    <m:t>dec</m:t>
                  </m:r>
                </m:e>
              </m:d>
            </m:sup>
          </m:sSubSup>
          <m:r>
            <m:rPr>
              <m:sty m:val="p"/>
            </m:rPr>
            <m:t>=</m:t>
          </m:r>
          <m:r>
            <m:rPr>
              <m:sty m:val="p"/>
            </m:rPr>
            <m:t>tanh</m:t>
          </m:r>
          <m:r>
            <m:t>​</m:t>
          </m:r>
          <m:d>
            <m:dPr>
              <m:begChr m:val="("/>
              <m:endChr m:val=")"/>
              <m:sepChr m:val=""/>
              <m:grow/>
            </m:dPr>
            <m:e>
              <m:sSub>
                <m:e>
                  <m:r>
                    <m:t>W</m:t>
                  </m:r>
                </m:e>
                <m:sub>
                  <m:r>
                    <m:t>c</m:t>
                  </m:r>
                </m:sub>
              </m:sSub>
              <m:r>
                <m:t>​</m:t>
              </m:r>
              <m:d>
                <m:dPr>
                  <m:begChr m:val="["/>
                  <m:endChr m:val="]"/>
                  <m:sepChr m:val=""/>
                  <m:grow/>
                </m:dPr>
                <m:e>
                  <m:sSubSup>
                    <m:e>
                      <m:r>
                        <m:t>h</m:t>
                      </m:r>
                    </m:e>
                    <m:sub>
                      <m:r>
                        <m:t>t</m:t>
                      </m:r>
                    </m:sub>
                    <m:sup>
                      <m:d>
                        <m:dPr>
                          <m:begChr m:val="("/>
                          <m:endChr m:val=")"/>
                          <m:sepChr m:val=""/>
                          <m:grow/>
                        </m:dPr>
                        <m:e>
                          <m:r>
                            <m:rPr>
                              <m:nor/>
                              <m:sty m:val="p"/>
                            </m:rPr>
                            <m:t>dec</m:t>
                          </m:r>
                        </m:e>
                      </m:d>
                    </m:sup>
                  </m:sSubSup>
                  <m:r>
                    <m:rPr>
                      <m:sty m:val="p"/>
                    </m:rPr>
                    <m:t>;</m:t>
                  </m:r>
                  <m:r>
                    <m:t> </m:t>
                  </m:r>
                  <m:sSub>
                    <m:e>
                      <m:r>
                        <m:t>c</m:t>
                      </m:r>
                    </m:e>
                    <m:sub>
                      <m:r>
                        <m:t>t</m:t>
                      </m:r>
                    </m:sub>
                  </m:sSub>
                </m:e>
              </m:d>
              <m:r>
                <m:rPr>
                  <m:sty m:val="p"/>
                </m:rPr>
                <m:t>+</m:t>
              </m:r>
              <m:sSub>
                <m:e>
                  <m:r>
                    <m:t>b</m:t>
                  </m:r>
                </m:e>
                <m:sub>
                  <m:r>
                    <m:t>c</m:t>
                  </m:r>
                </m:sub>
              </m:sSub>
            </m:e>
          </m:d>
          <m:r>
            <m:rPr>
              <m:sty m:val="p"/>
            </m:rPr>
            <m:t>,</m:t>
          </m:r>
          <m:r>
            <m:t> </m:t>
          </m:r>
          <m:sSub>
            <m:e>
              <m:acc>
                <m:accPr>
                  <m:chr m:val="̂"/>
                </m:accPr>
                <m:e>
                  <m:r>
                    <m:t>y</m:t>
                  </m:r>
                </m:e>
              </m:acc>
            </m:e>
            <m:sub>
              <m:r>
                <m:t>t</m:t>
              </m:r>
            </m:sub>
          </m:sSub>
          <m:r>
            <m:rPr>
              <m:sty m:val="p"/>
            </m:rPr>
            <m:t>=</m:t>
          </m:r>
          <m:sSub>
            <m:e>
              <m:r>
                <m:t>W</m:t>
              </m:r>
            </m:e>
            <m:sub>
              <m:r>
                <m:t>o</m:t>
              </m:r>
            </m:sub>
          </m:sSub>
          <m:r>
            <m:t> </m:t>
          </m:r>
          <m:sSubSup>
            <m:e>
              <m:acc>
                <m:accPr>
                  <m:chr m:val="̃"/>
                </m:accPr>
                <m:e>
                  <m:r>
                    <m:t>h</m:t>
                  </m:r>
                </m:e>
              </m:acc>
            </m:e>
            <m:sub>
              <m:r>
                <m:t>t</m:t>
              </m:r>
            </m:sub>
            <m:sup>
              <m:d>
                <m:dPr>
                  <m:begChr m:val="("/>
                  <m:endChr m:val=")"/>
                  <m:sepChr m:val=""/>
                  <m:grow/>
                </m:dPr>
                <m:e>
                  <m:r>
                    <m:rPr>
                      <m:nor/>
                      <m:sty m:val="p"/>
                    </m:rPr>
                    <m:t>dec</m:t>
                  </m:r>
                </m:e>
              </m:d>
            </m:sup>
          </m:sSubSup>
          <m:r>
            <m:rPr>
              <m:sty m:val="p"/>
            </m:rPr>
            <m:t>+</m:t>
          </m:r>
          <m:sSub>
            <m:e>
              <m:r>
                <m:t>b</m:t>
              </m:r>
            </m:e>
            <m:sub>
              <m:r>
                <m:t>o</m:t>
              </m:r>
            </m:sub>
          </m:sSub>
        </m:oMath>
      </m:oMathPara>
    </w:p>
    <w:p>
      <w:pPr>
        <w:pStyle w:val="FirstParagraph"/>
      </w:pPr>
      <w:r>
        <w:t xml:space="preserve">Los pesos de atención</w:t>
      </w:r>
      <w:r>
        <w:t xml:space="preserve"> </w:t>
      </w:r>
      <m:oMath>
        <m:r>
          <m:rPr>
            <m:sty m:val="p"/>
          </m:rPr>
          <m:t>{</m:t>
        </m:r>
        <m:sSub>
          <m:e>
            <m:r>
              <m:t>α</m:t>
            </m:r>
          </m:e>
          <m:sub>
            <m:r>
              <m:t>t</m:t>
            </m:r>
            <m:r>
              <m:rPr>
                <m:sty m:val="p"/>
              </m:rPr>
              <m:t>,</m:t>
            </m:r>
            <m:r>
              <m:t>i</m:t>
            </m:r>
          </m:sub>
        </m:sSub>
        <m:r>
          <m:rPr>
            <m:sty m:val="p"/>
          </m:rPr>
          <m:t>}</m:t>
        </m:r>
      </m:oMath>
      <w:r>
        <w:t xml:space="preserve"> </w:t>
      </w:r>
      <w:r>
        <w:t xml:space="preserve">son directamente interpretables: valores</w:t>
      </w:r>
      <w:r>
        <w:t xml:space="preserve"> </w:t>
      </w:r>
      <m:oMath>
        <m:sSub>
          <m:e>
            <m:r>
              <m:t>α</m:t>
            </m:r>
          </m:e>
          <m:sub>
            <m:r>
              <m:t>t</m:t>
            </m:r>
            <m:r>
              <m:rPr>
                <m:sty m:val="p"/>
              </m:rPr>
              <m:t>,</m:t>
            </m:r>
            <m:r>
              <m:t>i</m:t>
            </m:r>
          </m:sub>
        </m:sSub>
      </m:oMath>
      <w:r>
        <w:t xml:space="preserve"> </w:t>
      </w:r>
      <w:r>
        <w:t xml:space="preserve">elevados indican que el instante histórico</w:t>
      </w:r>
      <w:r>
        <w:t xml:space="preserve"> </w:t>
      </w:r>
      <m:oMath>
        <m:r>
          <m:t>i</m:t>
        </m:r>
      </m:oMath>
      <w:r>
        <w:t xml:space="preserve"> </w:t>
      </w:r>
      <w:r>
        <w:t xml:space="preserve">es altamente relevante para la predicción en el paso de decodificación</w:t>
      </w:r>
      <w:r>
        <w:t xml:space="preserve"> </w:t>
      </w:r>
      <m:oMath>
        <m:r>
          <m:t>t</m:t>
        </m:r>
      </m:oMath>
      <w:r>
        <w:t xml:space="preserve">. Para predicción de tráfico 5G, el modelo aprende a atender a instantes con el mismo perfil temporal del ciclo diario (ej. misma hora del lunes anterior,</w:t>
      </w:r>
      <w:r>
        <w:t xml:space="preserve"> </w:t>
      </w:r>
      <m:oMath>
        <m:r>
          <m:t>i</m:t>
        </m:r>
        <m:r>
          <m:rPr>
            <m:sty m:val="p"/>
          </m:rPr>
          <m:t>≈</m:t>
        </m:r>
        <m:r>
          <m:t>T</m:t>
        </m:r>
        <m:r>
          <m:rPr>
            <m:sty m:val="p"/>
          </m:rPr>
          <m:t>−</m:t>
        </m:r>
        <m:r>
          <m:t>96</m:t>
        </m:r>
      </m:oMath>
      <w:r>
        <w:t xml:space="preserve">), a periodos inmediatamente recientes (</w:t>
      </w:r>
      <m:oMath>
        <m:r>
          <m:t>i</m:t>
        </m:r>
        <m:r>
          <m:rPr>
            <m:sty m:val="p"/>
          </m:rPr>
          <m:t>≈</m:t>
        </m:r>
        <m:r>
          <m:t>T</m:t>
        </m:r>
      </m:oMath>
      <w:r>
        <w:t xml:space="preserve">), y a instantes pre-pico (</w:t>
      </w:r>
      <m:oMath>
        <m:r>
          <m:t>i</m:t>
        </m:r>
      </m:oMath>
      <w:r>
        <w:t xml:space="preserve"> </w:t>
      </w:r>
      <w:r>
        <w:t xml:space="preserve">correspondientes a los 15–30 min antes de picos históricos recurrentes) [33], conferiendo interpretabilidad semántica que fortalece la confianza en despliegues de producción.</w:t>
      </w:r>
    </w:p>
    <w:bookmarkEnd w:id="38"/>
    <w:bookmarkStart w:id="39" w:name="d-arquitectura-multi-resolución"/>
    <w:p>
      <w:pPr>
        <w:pStyle w:val="Heading3"/>
      </w:pPr>
      <w:r>
        <w:t xml:space="preserve">D. Arquitectura Multi-Resolución</w:t>
      </w:r>
    </w:p>
    <w:p>
      <w:pPr>
        <w:pStyle w:val="FirstParagraph"/>
      </w:pPr>
      <w:r>
        <w:t xml:space="preserve">El tráfico 5G contiene simultáneamente patrones de múltiples escalas temporales: fluctuaciones de minutos, ritmos horarios y tendencias diarias/semanales. Para capturar todas estas escalas con un único modelo, se diseñan tres ramas BiLSTM que procesan la misma serie a diferentes granularidades temporales obtenidas por promediado deslizante [23], [36]:</w:t>
      </w:r>
    </w:p>
    <w:p>
      <w:pPr>
        <w:pStyle w:val="BodyText"/>
      </w:pPr>
      <m:oMathPara>
        <m:oMathParaPr>
          <m:jc m:val="center"/>
        </m:oMathParaPr>
        <m:oMath>
          <m:sSup>
            <m:e>
              <m:r>
                <m:t>X</m:t>
              </m:r>
            </m:e>
            <m:sup>
              <m:d>
                <m:dPr>
                  <m:begChr m:val="("/>
                  <m:endChr m:val=")"/>
                  <m:sepChr m:val=""/>
                  <m:grow/>
                </m:dPr>
                <m:e>
                  <m:r>
                    <m:t>1</m:t>
                  </m:r>
                </m:e>
              </m:d>
            </m:sup>
          </m:sSup>
          <m:d>
            <m:dPr>
              <m:begChr m:val="("/>
              <m:endChr m:val=")"/>
              <m:sepChr m:val=""/>
              <m:grow/>
            </m:dPr>
            <m:e>
              <m:r>
                <m:t>t</m:t>
              </m:r>
            </m:e>
          </m:d>
          <m:r>
            <m:rPr>
              <m:sty m:val="p"/>
            </m:rPr>
            <m:t>≡</m:t>
          </m:r>
          <m:r>
            <m:t>X</m:t>
          </m:r>
          <m:d>
            <m:dPr>
              <m:begChr m:val="("/>
              <m:endChr m:val=")"/>
              <m:sepChr m:val=""/>
              <m:grow/>
            </m:dPr>
            <m:e>
              <m:r>
                <m:t>t</m:t>
              </m:r>
            </m:e>
          </m:d>
          <m:r>
            <m:t> </m:t>
          </m:r>
          <m:r>
            <m:rPr>
              <m:nor/>
              <m:sty m:val="p"/>
            </m:rPr>
            <m:t>(resolución fina, granularidad original)</m:t>
          </m:r>
        </m:oMath>
      </m:oMathPara>
    </w:p>
    <w:p>
      <w:pPr>
        <w:pStyle w:val="FirstParagraph"/>
      </w:pPr>
      <m:oMathPara>
        <m:oMathParaPr>
          <m:jc m:val="center"/>
        </m:oMathParaPr>
        <m:oMath>
          <m:sSup>
            <m:e>
              <m:r>
                <m:t>X</m:t>
              </m:r>
            </m:e>
            <m:sup>
              <m:d>
                <m:dPr>
                  <m:begChr m:val="("/>
                  <m:endChr m:val=")"/>
                  <m:sepChr m:val=""/>
                  <m:grow/>
                </m:dPr>
                <m:e>
                  <m:r>
                    <m:t>2</m:t>
                  </m:r>
                </m:e>
              </m:d>
            </m:sup>
          </m:sSup>
          <m:d>
            <m:dPr>
              <m:begChr m:val="("/>
              <m:endChr m:val=")"/>
              <m:sepChr m:val=""/>
              <m:grow/>
            </m:dPr>
            <m:e>
              <m:r>
                <m:t>t</m:t>
              </m:r>
            </m:e>
          </m:d>
          <m:r>
            <m:rPr>
              <m:sty m:val="p"/>
            </m:rPr>
            <m:t>=</m:t>
          </m:r>
          <m:f>
            <m:fPr>
              <m:type m:val="bar"/>
            </m:fPr>
            <m:num>
              <m:r>
                <m:t>1</m:t>
              </m:r>
            </m:num>
            <m:den>
              <m:r>
                <m:t>2</m:t>
              </m:r>
            </m:den>
          </m:f>
          <m:r>
            <m:t>​</m:t>
          </m:r>
          <m:d>
            <m:dPr>
              <m:begChr m:val="["/>
              <m:endChr m:val="]"/>
              <m:sepChr m:val=""/>
              <m:grow/>
            </m:dPr>
            <m:e>
              <m:sSup>
                <m:e>
                  <m:r>
                    <m:t>X</m:t>
                  </m:r>
                </m:e>
                <m:sup>
                  <m:d>
                    <m:dPr>
                      <m:begChr m:val="("/>
                      <m:endChr m:val=")"/>
                      <m:sepChr m:val=""/>
                      <m:grow/>
                    </m:dPr>
                    <m:e>
                      <m:r>
                        <m:t>1</m:t>
                      </m:r>
                    </m:e>
                  </m:d>
                </m:sup>
              </m:sSup>
              <m:d>
                <m:dPr>
                  <m:begChr m:val="("/>
                  <m:endChr m:val=")"/>
                  <m:sepChr m:val=""/>
                  <m:grow/>
                </m:dPr>
                <m:e>
                  <m:r>
                    <m:t>2</m:t>
                  </m:r>
                  <m:r>
                    <m:t>t</m:t>
                  </m:r>
                </m:e>
              </m:d>
              <m:r>
                <m:rPr>
                  <m:sty m:val="p"/>
                </m:rPr>
                <m:t>+</m:t>
              </m:r>
              <m:sSup>
                <m:e>
                  <m:r>
                    <m:t>X</m:t>
                  </m:r>
                </m:e>
                <m:sup>
                  <m:d>
                    <m:dPr>
                      <m:begChr m:val="("/>
                      <m:endChr m:val=")"/>
                      <m:sepChr m:val=""/>
                      <m:grow/>
                    </m:dPr>
                    <m:e>
                      <m:r>
                        <m:t>1</m:t>
                      </m:r>
                    </m:e>
                  </m:d>
                </m:sup>
              </m:sSup>
              <m:d>
                <m:dPr>
                  <m:begChr m:val="("/>
                  <m:endChr m:val=")"/>
                  <m:sepChr m:val=""/>
                  <m:grow/>
                </m:dPr>
                <m:e>
                  <m:r>
                    <m:t>2</m:t>
                  </m:r>
                  <m:r>
                    <m:t>t</m:t>
                  </m:r>
                  <m:r>
                    <m:rPr>
                      <m:sty m:val="p"/>
                    </m:rPr>
                    <m:t>+</m:t>
                  </m:r>
                  <m:r>
                    <m:t>1</m:t>
                  </m:r>
                </m:e>
              </m:d>
            </m:e>
          </m:d>
          <m:r>
            <m:t> </m:t>
          </m:r>
          <m:r>
            <m:rPr>
              <m:nor/>
              <m:sty m:val="p"/>
            </m:rPr>
            <m:t>(resolución media, 2× agrupación)</m:t>
          </m:r>
        </m:oMath>
      </m:oMathPara>
    </w:p>
    <w:p>
      <w:pPr>
        <w:pStyle w:val="FirstParagraph"/>
      </w:pPr>
      <m:oMathPara>
        <m:oMathParaPr>
          <m:jc m:val="center"/>
        </m:oMathParaPr>
        <m:oMath>
          <m:sSup>
            <m:e>
              <m:r>
                <m:t>X</m:t>
              </m:r>
            </m:e>
            <m:sup>
              <m:d>
                <m:dPr>
                  <m:begChr m:val="("/>
                  <m:endChr m:val=")"/>
                  <m:sepChr m:val=""/>
                  <m:grow/>
                </m:dPr>
                <m:e>
                  <m:r>
                    <m:t>3</m:t>
                  </m:r>
                </m:e>
              </m:d>
            </m:sup>
          </m:sSup>
          <m:d>
            <m:dPr>
              <m:begChr m:val="("/>
              <m:endChr m:val=")"/>
              <m:sepChr m:val=""/>
              <m:grow/>
            </m:dPr>
            <m:e>
              <m:r>
                <m:t>t</m:t>
              </m:r>
            </m:e>
          </m:d>
          <m:r>
            <m:rPr>
              <m:sty m:val="p"/>
            </m:rPr>
            <m:t>=</m:t>
          </m:r>
          <m:f>
            <m:fPr>
              <m:type m:val="bar"/>
            </m:fPr>
            <m:num>
              <m:r>
                <m:t>1</m:t>
              </m:r>
            </m:num>
            <m:den>
              <m:r>
                <m:t>4</m:t>
              </m:r>
            </m:den>
          </m:f>
          <m:r>
            <m:t>​</m:t>
          </m:r>
          <m:nary>
            <m:naryPr>
              <m:chr m:val="∑"/>
              <m:limLoc m:val="undOvr"/>
              <m:subHide m:val="0"/>
              <m:supHide m:val="0"/>
            </m:naryPr>
            <m:sub>
              <m:r>
                <m:t>k</m:t>
              </m:r>
              <m:r>
                <m:rPr>
                  <m:sty m:val="p"/>
                </m:rPr>
                <m:t>=</m:t>
              </m:r>
              <m:r>
                <m:t>0</m:t>
              </m:r>
            </m:sub>
            <m:sup>
              <m:r>
                <m:t>3</m:t>
              </m:r>
            </m:sup>
            <m:e>
              <m:sSup>
                <m:e>
                  <m:r>
                    <m:t>X</m:t>
                  </m:r>
                </m:e>
                <m:sup>
                  <m:d>
                    <m:dPr>
                      <m:begChr m:val="("/>
                      <m:endChr m:val=")"/>
                      <m:sepChr m:val=""/>
                      <m:grow/>
                    </m:dPr>
                    <m:e>
                      <m:r>
                        <m:t>1</m:t>
                      </m:r>
                    </m:e>
                  </m:d>
                </m:sup>
              </m:sSup>
            </m:e>
          </m:nary>
          <m:d>
            <m:dPr>
              <m:begChr m:val="("/>
              <m:endChr m:val=")"/>
              <m:sepChr m:val=""/>
              <m:grow/>
            </m:dPr>
            <m:e>
              <m:r>
                <m:t>4</m:t>
              </m:r>
              <m:r>
                <m:t>t</m:t>
              </m:r>
              <m:r>
                <m:rPr>
                  <m:sty m:val="p"/>
                </m:rPr>
                <m:t>+</m:t>
              </m:r>
              <m:r>
                <m:t>k</m:t>
              </m:r>
            </m:e>
          </m:d>
          <m:r>
            <m:t> </m:t>
          </m:r>
          <m:r>
            <m:rPr>
              <m:nor/>
              <m:sty m:val="p"/>
            </m:rPr>
            <m:t>(resolución gruesa, 4× agrupación)</m:t>
          </m:r>
        </m:oMath>
      </m:oMathPara>
    </w:p>
    <w:p>
      <w:pPr>
        <w:pStyle w:val="FirstParagraph"/>
      </w:pPr>
      <w:r>
        <w:t xml:space="preserve">Cada rama</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w:t>
      </w:r>
      <w:r>
        <w:t xml:space="preserve">aplica un BiLSTM de 2 capas con 128 unidades, con dropout</w:t>
      </w:r>
      <w:r>
        <w:t xml:space="preserve"> </w:t>
      </w:r>
      <m:oMath>
        <m:r>
          <m:t>p</m:t>
        </m:r>
        <m:r>
          <m:rPr>
            <m:sty m:val="p"/>
          </m:rPr>
          <m:t>=</m:t>
        </m:r>
        <m:r>
          <m:t>0.3</m:t>
        </m:r>
      </m:oMath>
      <w:r>
        <w:t xml:space="preserve"> </w:t>
      </w:r>
      <w:r>
        <w:t xml:space="preserve">entre capas [17] y conexiones residuales con LayerNorm:</w:t>
      </w:r>
    </w:p>
    <w:p>
      <w:pPr>
        <w:pStyle w:val="BodyText"/>
      </w:pPr>
      <m:oMathPara>
        <m:oMathParaPr>
          <m:jc m:val="center"/>
        </m:oMathParaPr>
        <m:oMath>
          <m:sSubSup>
            <m:e>
              <m:r>
                <m:t>h</m:t>
              </m:r>
            </m:e>
            <m:sub>
              <m:r>
                <m:t>t</m:t>
              </m:r>
            </m:sub>
            <m:sup>
              <m:d>
                <m:dPr>
                  <m:begChr m:val="("/>
                  <m:endChr m:val=")"/>
                  <m:sepChr m:val=""/>
                  <m:grow/>
                </m:dPr>
                <m:e>
                  <m:r>
                    <m:t>k</m:t>
                  </m:r>
                </m:e>
              </m:d>
            </m:sup>
          </m:sSubSup>
          <m:r>
            <m:rPr>
              <m:sty m:val="p"/>
            </m:rPr>
            <m:t>=</m:t>
          </m:r>
          <m:sSup>
            <m:e>
              <m:r>
                <m:rPr>
                  <m:nor/>
                  <m:sty m:val="p"/>
                </m:rPr>
                <m:t>BiLSTM</m:t>
              </m:r>
            </m:e>
            <m:sup>
              <m:d>
                <m:dPr>
                  <m:begChr m:val="("/>
                  <m:endChr m:val=")"/>
                  <m:sepChr m:val=""/>
                  <m:grow/>
                </m:dPr>
                <m:e>
                  <m:r>
                    <m:t>k</m:t>
                  </m:r>
                </m:e>
              </m:d>
            </m:sup>
          </m:sSup>
          <m:r>
            <m:t>​</m:t>
          </m:r>
          <m:d>
            <m:dPr>
              <m:begChr m:val="("/>
              <m:endChr m:val=")"/>
              <m:sepChr m:val=""/>
              <m:grow/>
            </m:dPr>
            <m:e>
              <m:sSubSup>
                <m:e>
                  <m:r>
                    <m:t>X</m:t>
                  </m:r>
                </m:e>
                <m:sub>
                  <m:r>
                    <m:t>t</m:t>
                  </m:r>
                  <m:r>
                    <m:rPr>
                      <m:sty m:val="p"/>
                    </m:rPr>
                    <m:t>−</m:t>
                  </m:r>
                  <m:sSub>
                    <m:e>
                      <m:r>
                        <m:t>w</m:t>
                      </m:r>
                    </m:e>
                    <m:sub>
                      <m:r>
                        <m:t>k</m:t>
                      </m:r>
                    </m:sub>
                  </m:sSub>
                  <m:r>
                    <m:rPr>
                      <m:sty m:val="p"/>
                    </m:rPr>
                    <m:t>:</m:t>
                  </m:r>
                  <m:r>
                    <m:t>t</m:t>
                  </m:r>
                </m:sub>
                <m:sup>
                  <m:d>
                    <m:dPr>
                      <m:begChr m:val="("/>
                      <m:endChr m:val=")"/>
                      <m:sepChr m:val=""/>
                      <m:grow/>
                    </m:dPr>
                    <m:e>
                      <m:r>
                        <m:t>k</m:t>
                      </m:r>
                    </m:e>
                  </m:d>
                </m:sup>
              </m:sSubSup>
              <m:r>
                <m:rPr>
                  <m:sty m:val="p"/>
                </m:rPr>
                <m:t>,</m:t>
              </m:r>
              <m:r>
                <m:t> </m:t>
              </m:r>
              <m:sSubSup>
                <m:e>
                  <m:r>
                    <m:t>h</m:t>
                  </m:r>
                </m:e>
                <m:sub>
                  <m:r>
                    <m:t>t</m:t>
                  </m:r>
                  <m:r>
                    <m:rPr>
                      <m:sty m:val="p"/>
                    </m:rPr>
                    <m:t>−</m:t>
                  </m:r>
                  <m:r>
                    <m:t>1</m:t>
                  </m:r>
                </m:sub>
                <m:sup>
                  <m:d>
                    <m:dPr>
                      <m:begChr m:val="("/>
                      <m:endChr m:val=")"/>
                      <m:sepChr m:val=""/>
                      <m:grow/>
                    </m:dPr>
                    <m:e>
                      <m:r>
                        <m:t>k</m:t>
                      </m:r>
                    </m:e>
                  </m:d>
                </m:sup>
              </m:sSubSup>
            </m:e>
          </m:d>
        </m:oMath>
      </m:oMathPara>
    </w:p>
    <w:p>
      <w:pPr>
        <w:pStyle w:val="FirstParagraph"/>
      </w:pPr>
      <w:r>
        <w:t xml:space="preserve">donde</w:t>
      </w:r>
      <w:r>
        <w:t xml:space="preserve"> </w:t>
      </w:r>
      <m:oMath>
        <m:sSub>
          <m:e>
            <m:r>
              <m:t>w</m:t>
            </m:r>
          </m:e>
          <m:sub>
            <m:r>
              <m:t>1</m:t>
            </m:r>
          </m:sub>
        </m:sSub>
        <m:r>
          <m:rPr>
            <m:sty m:val="p"/>
          </m:rPr>
          <m:t>=</m:t>
        </m:r>
        <m:r>
          <m:t>96</m:t>
        </m:r>
      </m:oMath>
      <w:r>
        <w:t xml:space="preserve">,</w:t>
      </w:r>
      <w:r>
        <w:t xml:space="preserve"> </w:t>
      </w:r>
      <m:oMath>
        <m:sSub>
          <m:e>
            <m:r>
              <m:t>w</m:t>
            </m:r>
          </m:e>
          <m:sub>
            <m:r>
              <m:t>2</m:t>
            </m:r>
          </m:sub>
        </m:sSub>
        <m:r>
          <m:rPr>
            <m:sty m:val="p"/>
          </m:rPr>
          <m:t>=</m:t>
        </m:r>
        <m:r>
          <m:t>48</m:t>
        </m:r>
      </m:oMath>
      <w:r>
        <w:t xml:space="preserve">,</w:t>
      </w:r>
      <w:r>
        <w:t xml:space="preserve"> </w:t>
      </w:r>
      <m:oMath>
        <m:sSub>
          <m:e>
            <m:r>
              <m:t>w</m:t>
            </m:r>
          </m:e>
          <m:sub>
            <m:r>
              <m:t>3</m:t>
            </m:r>
          </m:sub>
        </m:sSub>
        <m:r>
          <m:rPr>
            <m:sty m:val="p"/>
          </m:rPr>
          <m:t>=</m:t>
        </m:r>
        <m:r>
          <m:t>24</m:t>
        </m:r>
      </m:oMath>
      <w:r>
        <w:t xml:space="preserve"> </w:t>
      </w:r>
      <w:r>
        <w:t xml:space="preserve">son las longitudes de ventana en cada resolución, equivalentes a cubrir 24 horas en todos los casos.</w:t>
      </w:r>
    </w:p>
    <w:p>
      <w:pPr>
        <w:pStyle w:val="BodyText"/>
      </w:pPr>
      <w:r>
        <w:t xml:space="preserve">Las tres representaciones se fusionan mediante un mecanismo de atención sobre resoluciones que aprende a ponderar adaptativamente la contribución de cada escala según el contexto actual:</w:t>
      </w:r>
    </w:p>
    <w:p>
      <w:pPr>
        <w:pStyle w:val="BodyText"/>
      </w:pPr>
      <m:oMathPara>
        <m:oMathParaPr>
          <m:jc m:val="center"/>
        </m:oMathParaPr>
        <m:oMath>
          <m:sSub>
            <m:e>
              <m:r>
                <m:t>β</m:t>
              </m:r>
            </m:e>
            <m:sub>
              <m:r>
                <m:t>k</m:t>
              </m:r>
            </m:sub>
          </m:sSub>
          <m:r>
            <m:rPr>
              <m:sty m:val="p"/>
            </m:rPr>
            <m:t>=</m:t>
          </m:r>
          <m:r>
            <m:rPr>
              <m:nor/>
              <m:sty m:val="p"/>
            </m:rPr>
            <m:t>softmax</m:t>
          </m:r>
          <m:r>
            <m:t>​</m:t>
          </m:r>
          <m:sSub>
            <m:e>
              <m:d>
                <m:dPr>
                  <m:begChr m:val="("/>
                  <m:endChr m:val=")"/>
                  <m:sepChr m:val=""/>
                  <m:grow/>
                </m:dPr>
                <m:e>
                  <m:sSub>
                    <m:e>
                      <m:r>
                        <m:t>W</m:t>
                      </m:r>
                    </m:e>
                    <m:sub>
                      <m:r>
                        <m:t>β</m:t>
                      </m:r>
                    </m:sub>
                  </m:sSub>
                  <m:r>
                    <m:t> </m:t>
                  </m:r>
                  <m:sSubSup>
                    <m:e>
                      <m:r>
                        <m:t>h</m:t>
                      </m:r>
                    </m:e>
                    <m:sub>
                      <m:r>
                        <m:t>t</m:t>
                      </m:r>
                    </m:sub>
                    <m:sup>
                      <m:d>
                        <m:dPr>
                          <m:begChr m:val="("/>
                          <m:endChr m:val=")"/>
                          <m:sepChr m:val=""/>
                          <m:grow/>
                        </m:dPr>
                        <m:e>
                          <m:r>
                            <m:t>k</m:t>
                          </m:r>
                        </m:e>
                      </m:d>
                    </m:sup>
                  </m:sSubSup>
                  <m:r>
                    <m:rPr>
                      <m:sty m:val="p"/>
                    </m:rPr>
                    <m:t>+</m:t>
                  </m:r>
                  <m:sSub>
                    <m:e>
                      <m:r>
                        <m:t>b</m:t>
                      </m:r>
                    </m:e>
                    <m:sub>
                      <m:r>
                        <m:t>β</m:t>
                      </m:r>
                    </m:sub>
                  </m:sSub>
                </m:e>
              </m:d>
            </m:e>
            <m:sub>
              <m:r>
                <m:t>k</m:t>
              </m:r>
            </m:sub>
          </m:sSub>
          <m:r>
            <m:rPr>
              <m:sty m:val="p"/>
            </m:rPr>
            <m:t>,</m:t>
          </m:r>
          <m:r>
            <m:t> </m:t>
          </m:r>
          <m:sSubSup>
            <m:e>
              <m:r>
                <m:t>h</m:t>
              </m:r>
            </m:e>
            <m:sub>
              <m:r>
                <m:t>t</m:t>
              </m:r>
            </m:sub>
            <m:sup>
              <m:d>
                <m:dPr>
                  <m:begChr m:val="("/>
                  <m:endChr m:val=")"/>
                  <m:sepChr m:val=""/>
                  <m:grow/>
                </m:dPr>
                <m:e>
                  <m:r>
                    <m:rPr>
                      <m:nor/>
                      <m:sty m:val="p"/>
                    </m:rPr>
                    <m:t>fusion</m:t>
                  </m:r>
                </m:e>
              </m:d>
            </m:sup>
          </m:sSubSup>
          <m:r>
            <m:rPr>
              <m:sty m:val="p"/>
            </m:rPr>
            <m:t>=</m:t>
          </m:r>
          <m:nary>
            <m:naryPr>
              <m:chr m:val="∑"/>
              <m:limLoc m:val="undOvr"/>
              <m:subHide m:val="0"/>
              <m:supHide m:val="0"/>
            </m:naryPr>
            <m:sub>
              <m:r>
                <m:t>k</m:t>
              </m:r>
              <m:r>
                <m:rPr>
                  <m:sty m:val="p"/>
                </m:rPr>
                <m:t>=</m:t>
              </m:r>
              <m:r>
                <m:t>1</m:t>
              </m:r>
            </m:sub>
            <m:sup>
              <m:r>
                <m:t>3</m:t>
              </m:r>
            </m:sup>
            <m:e>
              <m:sSub>
                <m:e>
                  <m:r>
                    <m:t>β</m:t>
                  </m:r>
                </m:e>
                <m:sub>
                  <m:r>
                    <m:t>k</m:t>
                  </m:r>
                </m:sub>
              </m:sSub>
            </m:e>
          </m:nary>
          <m:r>
            <m:t> </m:t>
          </m:r>
          <m:sSubSup>
            <m:e>
              <m:r>
                <m:t>h</m:t>
              </m:r>
            </m:e>
            <m:sub>
              <m:r>
                <m:t>t</m:t>
              </m:r>
            </m:sub>
            <m:sup>
              <m:d>
                <m:dPr>
                  <m:begChr m:val="("/>
                  <m:endChr m:val=")"/>
                  <m:sepChr m:val=""/>
                  <m:grow/>
                </m:dPr>
                <m:e>
                  <m:r>
                    <m:t>k</m:t>
                  </m:r>
                </m:e>
              </m:d>
            </m:sup>
          </m:sSubSup>
        </m:oMath>
      </m:oMathPara>
    </w:p>
    <w:bookmarkEnd w:id="39"/>
    <w:bookmarkStart w:id="40" w:name="e-arquitectura-completa-propuesta"/>
    <w:p>
      <w:pPr>
        <w:pStyle w:val="Heading3"/>
      </w:pPr>
      <w:r>
        <w:t xml:space="preserve">E. Arquitectura Completa Propuesta</w:t>
      </w:r>
    </w:p>
    <w:p>
      <w:pPr>
        <w:pStyle w:val="FirstParagraph"/>
      </w:pPr>
      <w:r>
        <w:t xml:space="preserve">La arquitectura integra las cinco capas funcionales en el siguiente diseño:</w:t>
      </w:r>
    </w:p>
    <w:p>
      <w:pPr>
        <w:pStyle w:val="BodyText"/>
      </w:pPr>
      <w:r>
        <w:rPr>
          <w:bCs/>
          <w:b/>
        </w:rPr>
        <w:t xml:space="preserve">Capa 1 – Embedding y Preprocesamiento Contextual</w:t>
      </w:r>
      <w:r>
        <w:t xml:space="preserve">: Embeddings aprendibles para la hora del día (dimensión</w:t>
      </w:r>
      <w:r>
        <w:t xml:space="preserve"> </w:t>
      </w:r>
      <m:oMath>
        <m:sSub>
          <m:e>
            <m:r>
              <m:t>d</m:t>
            </m:r>
          </m:e>
          <m:sub>
            <m:r>
              <m:t>e</m:t>
            </m:r>
          </m:sub>
        </m:sSub>
        <m:r>
          <m:rPr>
            <m:sty m:val="p"/>
          </m:rPr>
          <m:t>=</m:t>
        </m:r>
        <m:r>
          <m:t>8</m:t>
        </m:r>
      </m:oMath>
      <w:r>
        <w:t xml:space="preserve">) y el día de la semana (</w:t>
      </w:r>
      <m:oMath>
        <m:sSub>
          <m:e>
            <m:r>
              <m:t>d</m:t>
            </m:r>
          </m:e>
          <m:sub>
            <m:r>
              <m:t>e</m:t>
            </m:r>
          </m:sub>
        </m:sSub>
        <m:r>
          <m:rPr>
            <m:sty m:val="p"/>
          </m:rPr>
          <m:t>=</m:t>
        </m:r>
        <m:r>
          <m:t>4</m:t>
        </m:r>
      </m:oMath>
      <w:r>
        <w:t xml:space="preserve">), complementados por codificaciones cíclicas que preservan la periodicidad:</w:t>
      </w:r>
      <w:r>
        <w:t xml:space="preserve"> </w:t>
      </w:r>
      <m:oMath>
        <m:sSub>
          <m:e>
            <m:r>
              <m:t>z</m:t>
            </m:r>
          </m:e>
          <m:sub>
            <m:r>
              <m:t>h</m:t>
            </m:r>
          </m:sub>
        </m:sSub>
        <m:r>
          <m:rPr>
            <m:sty m:val="p"/>
          </m:rPr>
          <m:t>=</m:t>
        </m:r>
        <m:d>
          <m:dPr>
            <m:begChr m:val="["/>
            <m:endChr m:val="]"/>
            <m:sepChr m:val=""/>
            <m:grow/>
          </m:dPr>
          <m:e>
            <m:r>
              <m:rPr>
                <m:sty m:val="p"/>
              </m:rPr>
              <m:t>sin</m:t>
            </m:r>
            <m:d>
              <m:dPr>
                <m:begChr m:val="("/>
                <m:endChr m:val=")"/>
                <m:sepChr m:val=""/>
                <m:grow/>
              </m:dPr>
              <m:e>
                <m:r>
                  <m:t>2</m:t>
                </m:r>
                <m:r>
                  <m:t>π</m:t>
                </m:r>
                <m:r>
                  <m:t>h</m:t>
                </m:r>
                <m:r>
                  <m:rPr>
                    <m:sty m:val="p"/>
                  </m:rPr>
                  <m:t>/</m:t>
                </m:r>
                <m:r>
                  <m:t>24</m:t>
                </m:r>
              </m:e>
            </m:d>
            <m:r>
              <m:rPr>
                <m:sty m:val="p"/>
              </m:rPr>
              <m:t>,</m:t>
            </m:r>
            <m:r>
              <m:rPr>
                <m:sty m:val="p"/>
              </m:rPr>
              <m:t>cos</m:t>
            </m:r>
            <m:d>
              <m:dPr>
                <m:begChr m:val="("/>
                <m:endChr m:val=")"/>
                <m:sepChr m:val=""/>
                <m:grow/>
              </m:dPr>
              <m:e>
                <m:r>
                  <m:t>2</m:t>
                </m:r>
                <m:r>
                  <m:t>π</m:t>
                </m:r>
                <m:r>
                  <m:t>h</m:t>
                </m:r>
                <m:r>
                  <m:rPr>
                    <m:sty m:val="p"/>
                  </m:rPr>
                  <m:t>/</m:t>
                </m:r>
                <m:r>
                  <m:t>24</m:t>
                </m:r>
              </m:e>
            </m:d>
          </m:e>
        </m:d>
      </m:oMath>
      <w:r>
        <w:t xml:space="preserve">. Indicador binario de festivo y variables de tráfico de celdas vecinas (correlación espacial). El vector de entrada aumentado es</w:t>
      </w:r>
      <w:r>
        <w:t xml:space="preserve"> </w:t>
      </w:r>
      <m:oMath>
        <m:sSub>
          <m:e>
            <m:r>
              <m:rPr>
                <m:sty m:val="b"/>
              </m:rPr>
              <m:t>x</m:t>
            </m:r>
          </m:e>
          <m:sub>
            <m:r>
              <m:t>t</m:t>
            </m:r>
          </m:sub>
        </m:sSub>
        <m:r>
          <m:rPr>
            <m:sty m:val="p"/>
          </m:rPr>
          <m:t>∈</m:t>
        </m:r>
        <m:sSup>
          <m:e>
            <m:r>
              <m:rPr>
                <m:sty m:val="p"/>
                <m:scr m:val="double-struck"/>
              </m:rPr>
              <m:t>R</m:t>
            </m:r>
          </m:e>
          <m:sup>
            <m:sSub>
              <m:e>
                <m:r>
                  <m:t>d</m:t>
                </m:r>
              </m:e>
              <m:sub>
                <m:r>
                  <m:t>x</m:t>
                </m:r>
              </m:sub>
            </m:sSub>
            <m:r>
              <m:rPr>
                <m:sty m:val="p"/>
              </m:rPr>
              <m:t>+</m:t>
            </m:r>
            <m:r>
              <m:t>14</m:t>
            </m:r>
          </m:sup>
        </m:sSup>
      </m:oMath>
      <w:r>
        <w:t xml:space="preserve">.</w:t>
      </w:r>
    </w:p>
    <w:p>
      <w:pPr>
        <w:pStyle w:val="BodyText"/>
      </w:pPr>
      <w:r>
        <w:rPr>
          <w:bCs/>
          <w:b/>
        </w:rPr>
        <w:t xml:space="preserve">Capa 2 – Procesamiento Multi-Resolución Paralelo</w:t>
      </w:r>
      <w:r>
        <w:t xml:space="preserve">: Tres ramas BiLSTM independientes procesando</w:t>
      </w:r>
      <w:r>
        <w:t xml:space="preserve"> </w:t>
      </w:r>
      <m:oMath>
        <m:sSup>
          <m:e>
            <m:r>
              <m:t>X</m:t>
            </m:r>
          </m:e>
          <m:sup>
            <m:d>
              <m:dPr>
                <m:begChr m:val="("/>
                <m:endChr m:val=")"/>
                <m:sepChr m:val=""/>
                <m:grow/>
              </m:dPr>
              <m:e>
                <m:r>
                  <m:t>1</m:t>
                </m:r>
              </m:e>
            </m:d>
          </m:sup>
        </m:sSup>
        <m:r>
          <m:rPr>
            <m:sty m:val="p"/>
          </m:rPr>
          <m:t>,</m:t>
        </m:r>
        <m:sSup>
          <m:e>
            <m:r>
              <m:t>X</m:t>
            </m:r>
          </m:e>
          <m:sup>
            <m:d>
              <m:dPr>
                <m:begChr m:val="("/>
                <m:endChr m:val=")"/>
                <m:sepChr m:val=""/>
                <m:grow/>
              </m:dPr>
              <m:e>
                <m:r>
                  <m:t>2</m:t>
                </m:r>
              </m:e>
            </m:d>
          </m:sup>
        </m:sSup>
        <m:r>
          <m:rPr>
            <m:sty m:val="p"/>
          </m:rPr>
          <m:t>,</m:t>
        </m:r>
        <m:sSup>
          <m:e>
            <m:r>
              <m:t>X</m:t>
            </m:r>
          </m:e>
          <m:sup>
            <m:d>
              <m:dPr>
                <m:begChr m:val="("/>
                <m:endChr m:val=")"/>
                <m:sepChr m:val=""/>
                <m:grow/>
              </m:dPr>
              <m:e>
                <m:r>
                  <m:t>3</m:t>
                </m:r>
              </m:e>
            </m:d>
          </m:sup>
        </m:sSup>
      </m:oMath>
      <w:r>
        <w:t xml:space="preserve"> </w:t>
      </w:r>
      <w:r>
        <w:t xml:space="preserve">según Ecs. (27)–(30). Cada rama tiene</w:t>
      </w:r>
      <w:r>
        <w:t xml:space="preserve"> </w:t>
      </w:r>
      <m:oMath>
        <m:r>
          <m:rPr>
            <m:sty m:val="p"/>
          </m:rPr>
          <m:t>≈</m:t>
        </m:r>
      </m:oMath>
      <w:r>
        <w:t xml:space="preserve">265K parámetros; la capa completa</w:t>
      </w:r>
      <w:r>
        <w:t xml:space="preserve"> </w:t>
      </w:r>
      <m:oMath>
        <m:r>
          <m:rPr>
            <m:sty m:val="p"/>
          </m:rPr>
          <m:t>≈</m:t>
        </m:r>
      </m:oMath>
      <w:r>
        <w:t xml:space="preserve">795K. Procesamiento paralelo en GPU reduce la latencia.</w:t>
      </w:r>
    </w:p>
    <w:p>
      <w:pPr>
        <w:pStyle w:val="BodyText"/>
      </w:pPr>
      <w:r>
        <w:rPr>
          <w:bCs/>
          <w:b/>
        </w:rPr>
        <w:t xml:space="preserve">Capa 3 – Fusión con Atención de Resolución</w:t>
      </w:r>
      <w:r>
        <w:t xml:space="preserve">: Fusión mediante Ec. (31) seguida de proyección lineal</w:t>
      </w:r>
      <w:r>
        <w:t xml:space="preserve"> </w:t>
      </w:r>
      <m:oMath>
        <m:sSubSup>
          <m:e>
            <m:r>
              <m:t>h</m:t>
            </m:r>
          </m:e>
          <m:sub>
            <m:r>
              <m:t>t</m:t>
            </m:r>
          </m:sub>
          <m:sup>
            <m:d>
              <m:dPr>
                <m:begChr m:val="("/>
                <m:endChr m:val=")"/>
                <m:sepChr m:val=""/>
                <m:grow/>
              </m:dPr>
              <m:e>
                <m:r>
                  <m:rPr>
                    <m:nor/>
                    <m:sty m:val="p"/>
                  </m:rPr>
                  <m:t>fus</m:t>
                </m:r>
              </m:e>
            </m:d>
          </m:sup>
        </m:sSubSup>
        <m:r>
          <m:rPr>
            <m:sty m:val="p"/>
          </m:rPr>
          <m:t>→</m:t>
        </m:r>
        <m:sSub>
          <m:e>
            <m:acc>
              <m:accPr>
                <m:chr m:val="̃"/>
              </m:accPr>
              <m:e>
                <m:r>
                  <m:t>h</m:t>
                </m:r>
              </m:e>
            </m:acc>
          </m:e>
          <m:sub>
            <m:r>
              <m:t>t</m:t>
            </m:r>
          </m:sub>
        </m:sSub>
        <m:r>
          <m:rPr>
            <m:sty m:val="p"/>
          </m:rPr>
          <m:t>∈</m:t>
        </m:r>
        <m:sSup>
          <m:e>
            <m:r>
              <m:rPr>
                <m:sty m:val="p"/>
                <m:scr m:val="double-struck"/>
              </m:rPr>
              <m:t>R</m:t>
            </m:r>
          </m:e>
          <m:sup>
            <m:r>
              <m:t>256</m:t>
            </m:r>
          </m:sup>
        </m:sSup>
      </m:oMath>
      <w:r>
        <w:t xml:space="preserve"> </w:t>
      </w:r>
      <w:r>
        <w:t xml:space="preserve">con BatchNorm y ReLU.</w:t>
      </w:r>
    </w:p>
    <w:p>
      <w:pPr>
        <w:pStyle w:val="BodyText"/>
      </w:pPr>
      <w:r>
        <w:rPr>
          <w:bCs/>
          <w:b/>
        </w:rPr>
        <w:t xml:space="preserve">Capa 4 – Encoder-Decoder con Atención Temporal</w:t>
      </w:r>
      <w:r>
        <w:t xml:space="preserve">: Encoder de 2 capas LSTM con 256 unidades procesando los</w:t>
      </w:r>
      <w:r>
        <w:t xml:space="preserve"> </w:t>
      </w:r>
      <m:oMath>
        <m:r>
          <m:t>T</m:t>
        </m:r>
        <m:r>
          <m:rPr>
            <m:sty m:val="p"/>
          </m:rPr>
          <m:t>=</m:t>
        </m:r>
        <m:r>
          <m:t>96</m:t>
        </m:r>
      </m:oMath>
      <w:r>
        <w:t xml:space="preserve"> </w:t>
      </w:r>
      <w:r>
        <w:t xml:space="preserve">estados del paso anterior. Decoder de 2 capas LSTM con 256 unidades. Atención de Bahdanau (Ecs. 23–26) sobre los 96 estados del encoder. Conexiones residuales con LayerNorm en todas las capas. Parámetros de Capa 4:</w:t>
      </w:r>
      <w:r>
        <w:t xml:space="preserve"> </w:t>
      </w:r>
      <m:oMath>
        <m:r>
          <m:rPr>
            <m:sty m:val="p"/>
          </m:rPr>
          <m:t>≈</m:t>
        </m:r>
      </m:oMath>
      <w:r>
        <w:t xml:space="preserve">3.4M.</w:t>
      </w:r>
    </w:p>
    <w:p>
      <w:pPr>
        <w:pStyle w:val="BodyText"/>
      </w:pPr>
      <w:r>
        <w:rPr>
          <w:bCs/>
          <w:b/>
        </w:rPr>
        <w:t xml:space="preserve">Capa 5 – Salida Multi-Horizonte</w:t>
      </w:r>
      <w:r>
        <w:t xml:space="preserve">: Capa densa</w:t>
      </w:r>
      <w:r>
        <w:t xml:space="preserve"> </w:t>
      </w:r>
      <m:oMath>
        <m:r>
          <m:t>256</m:t>
        </m:r>
        <m:r>
          <m:rPr>
            <m:sty m:val="p"/>
          </m:rPr>
          <m:t>→</m:t>
        </m:r>
        <m:r>
          <m:t>τ</m:t>
        </m:r>
      </m:oMath>
      <w:r>
        <w:t xml:space="preserve"> </w:t>
      </w:r>
      <w:r>
        <w:t xml:space="preserve">con activación lineal que genera</w:t>
      </w:r>
      <w:r>
        <w:t xml:space="preserve"> </w:t>
      </w:r>
      <m:oMath>
        <m:d>
          <m:dPr>
            <m:begChr m:val="["/>
            <m:endChr m:val="]"/>
            <m:sepChr m:val=""/>
            <m:grow/>
          </m:dPr>
          <m:e>
            <m:acc>
              <m:accPr>
                <m:chr m:val="̂"/>
              </m:accPr>
              <m:e>
                <m:r>
                  <m:t>X</m:t>
                </m:r>
              </m:e>
            </m:acc>
            <m:d>
              <m:dPr>
                <m:begChr m:val="("/>
                <m:endChr m:val=")"/>
                <m:sepChr m:val=""/>
                <m:grow/>
              </m:dPr>
              <m:e>
                <m:r>
                  <m:t>t</m:t>
                </m:r>
                <m:r>
                  <m:rPr>
                    <m:sty m:val="p"/>
                  </m:rPr>
                  <m:t>+</m:t>
                </m:r>
                <m:r>
                  <m:t>1</m:t>
                </m:r>
              </m:e>
            </m:d>
            <m:r>
              <m:rPr>
                <m:sty m:val="p"/>
              </m:rPr>
              <m:t>,</m:t>
            </m:r>
            <m:r>
              <m:rPr>
                <m:sty m:val="p"/>
              </m:rPr>
              <m:t>…</m:t>
            </m:r>
            <m:r>
              <m:rPr>
                <m:sty m:val="p"/>
              </m:rPr>
              <m:t>,</m:t>
            </m:r>
            <m:acc>
              <m:accPr>
                <m:chr m:val="̂"/>
              </m:accPr>
              <m:e>
                <m:r>
                  <m:t>X</m:t>
                </m:r>
              </m:e>
            </m:acc>
            <m:d>
              <m:dPr>
                <m:begChr m:val="("/>
                <m:endChr m:val=")"/>
                <m:sepChr m:val=""/>
                <m:grow/>
              </m:dPr>
              <m:e>
                <m:r>
                  <m:t>t</m:t>
                </m:r>
                <m:r>
                  <m:rPr>
                    <m:sty m:val="p"/>
                  </m:rPr>
                  <m:t>+</m:t>
                </m:r>
                <m:r>
                  <m:t>τ</m:t>
                </m:r>
              </m:e>
            </m:d>
          </m:e>
        </m:d>
      </m:oMath>
      <w:r>
        <w:t xml:space="preserve">. Para estimación de incertidumbre, una capa paralela de igual estructura produce la varianza de predicción</w:t>
      </w:r>
      <w:r>
        <w:t xml:space="preserve"> </w:t>
      </w:r>
      <m:oMath>
        <m:d>
          <m:dPr>
            <m:begChr m:val="["/>
            <m:endChr m:val="]"/>
            <m:sepChr m:val=""/>
            <m:grow/>
          </m:dPr>
          <m:e>
            <m:sSup>
              <m:e>
                <m:acc>
                  <m:accPr>
                    <m:chr m:val="̂"/>
                  </m:accPr>
                  <m:e>
                    <m:r>
                      <m:t>σ</m:t>
                    </m:r>
                  </m:e>
                </m:acc>
              </m:e>
              <m:sup>
                <m:r>
                  <m:t>2</m:t>
                </m:r>
              </m:sup>
            </m:sSup>
            <m:d>
              <m:dPr>
                <m:begChr m:val="("/>
                <m:endChr m:val=")"/>
                <m:sepChr m:val=""/>
                <m:grow/>
              </m:dPr>
              <m:e>
                <m:r>
                  <m:t>t</m:t>
                </m:r>
                <m:r>
                  <m:rPr>
                    <m:sty m:val="p"/>
                  </m:rPr>
                  <m:t>+</m:t>
                </m:r>
                <m:r>
                  <m:t>1</m:t>
                </m:r>
              </m:e>
            </m:d>
            <m:r>
              <m:rPr>
                <m:sty m:val="p"/>
              </m:rPr>
              <m:t>,</m:t>
            </m:r>
            <m:r>
              <m:rPr>
                <m:sty m:val="p"/>
              </m:rPr>
              <m:t>…</m:t>
            </m:r>
            <m:r>
              <m:rPr>
                <m:sty m:val="p"/>
              </m:rPr>
              <m:t>,</m:t>
            </m:r>
            <m:sSup>
              <m:e>
                <m:acc>
                  <m:accPr>
                    <m:chr m:val="̂"/>
                  </m:accPr>
                  <m:e>
                    <m:r>
                      <m:t>σ</m:t>
                    </m:r>
                  </m:e>
                </m:acc>
              </m:e>
              <m:sup>
                <m:r>
                  <m:t>2</m:t>
                </m:r>
              </m:sup>
            </m:sSup>
            <m:d>
              <m:dPr>
                <m:begChr m:val="("/>
                <m:endChr m:val=")"/>
                <m:sepChr m:val=""/>
                <m:grow/>
              </m:dPr>
              <m:e>
                <m:r>
                  <m:t>t</m:t>
                </m:r>
                <m:r>
                  <m:rPr>
                    <m:sty m:val="p"/>
                  </m:rPr>
                  <m:t>+</m:t>
                </m:r>
                <m:r>
                  <m:t>τ</m:t>
                </m:r>
              </m:e>
            </m:d>
          </m:e>
        </m:d>
      </m:oMath>
      <w:r>
        <w:t xml:space="preserve">. Parámetros totales del modelo:</w:t>
      </w:r>
      <w:r>
        <w:t xml:space="preserve"> </w:t>
      </w:r>
      <m:oMath>
        <m:r>
          <m:rPr>
            <m:sty m:val="p"/>
          </m:rPr>
          <m:t>≈</m:t>
        </m:r>
      </m:oMath>
      <w:r>
        <w:t xml:space="preserve">4.2M.</w:t>
      </w:r>
    </w:p>
    <w:p>
      <w:pPr>
        <w:pStyle w:val="BodyText"/>
      </w:pPr>
      <w:r>
        <w:t xml:space="preserve">La complejidad computacional de inferencia es</w:t>
      </w:r>
      <w:r>
        <w:t xml:space="preserve"> </w:t>
      </w:r>
      <m:oMath>
        <m:r>
          <m:t>O</m:t>
        </m:r>
        <m:d>
          <m:dPr>
            <m:begChr m:val="("/>
            <m:endChr m:val=")"/>
            <m:sepChr m:val=""/>
            <m:grow/>
          </m:dPr>
          <m:e>
            <m:r>
              <m:t>T</m:t>
            </m:r>
            <m:r>
              <m:rPr>
                <m:sty m:val="p"/>
              </m:rPr>
              <m:t>⋅</m:t>
            </m:r>
            <m:sSubSup>
              <m:e>
                <m:r>
                  <m:t>d</m:t>
                </m:r>
              </m:e>
              <m:sub>
                <m:r>
                  <m:t>h</m:t>
                </m:r>
              </m:sub>
              <m:sup>
                <m:r>
                  <m:t>2</m:t>
                </m:r>
              </m:sup>
            </m:sSubSup>
          </m:e>
        </m:d>
      </m:oMath>
      <w:r>
        <w:t xml:space="preserve"> </w:t>
      </w:r>
      <w:r>
        <w:t xml:space="preserve">por capa LSTM, resultando en</w:t>
      </w:r>
      <w:r>
        <w:t xml:space="preserve"> </w:t>
      </w:r>
      <m:oMath>
        <m:r>
          <m:rPr>
            <m:sty m:val="p"/>
          </m:rPr>
          <m:t>≈</m:t>
        </m:r>
      </m:oMath>
      <w:r>
        <w:t xml:space="preserve">40 ms de latencia en CPU y</w:t>
      </w:r>
      <w:r>
        <w:t xml:space="preserve"> </w:t>
      </w:r>
      <m:oMath>
        <m:r>
          <m:rPr>
            <m:sty m:val="p"/>
          </m:rPr>
          <m:t>≈</m:t>
        </m:r>
      </m:oMath>
      <w:r>
        <w:t xml:space="preserve">5 ms en GPU, dentro de los límites operacionales para el ciclo de gestión proactiva de 15 min.</w:t>
      </w:r>
    </w:p>
    <w:p>
      <w:pPr>
        <w:pStyle w:val="BodyText"/>
      </w:pPr>
      <w:r>
        <w:t xml:space="preserve">La Figura 1 ilustra el resultado de la predicción del modelo completo sobre el dataset Milano. La Figura 1 muestra la comparación entre el tráfico real observado (línea azul discontinua) y las predicciones generadas por el modelo LSTM propuesto (línea roja sólida) durante un periodo de 48 horas consecutivas en el dataset Milano. El eje horizontal representa el tiempo en horas, mientras el eje vertical muestra el volumen de tráfico normalizado en escala [0,1]. Se aprecian con claridad los patrones diurnos con picos durante las horas laborales (~9–12 h y</w:t>
      </w:r>
      <w:r>
        <w:t xml:space="preserve"> </w:t>
      </w:r>
      <w:r>
        <w:rPr>
          <w:vertAlign w:val="subscript"/>
        </w:rPr>
        <w:t xml:space="preserve">18–20 h) y los valles nocturnos (</w:t>
      </w:r>
      <w:r>
        <w:t xml:space="preserve">2–5 h). Las predicciones del LSTM siguen fielmente tanto la tendencia general como las fluctuaciones de corto plazo, con errores marginales principalmente durante las transiciones abruptas entre periodos pico-valle. Las bandas de confianza (área sombreada rosa) representan los intervalos al 95%, confirmando la consistencia estadística del modelo y que los valores reales quedan contenidos dentro del intervalo en más del 93% de los casos.</w:t>
      </w:r>
    </w:p>
    <w:p>
      <w:pPr>
        <w:pStyle w:val="BodyText"/>
      </w:pPr>
      <w:r>
        <w:rPr>
          <w:bCs/>
          <w:b/>
        </w:rPr>
        <w:t xml:space="preserve">Figura 1</w:t>
      </w:r>
      <w:r>
        <w:t xml:space="preserve"> </w:t>
      </w:r>
      <w:r>
        <w:rPr>
          <w:iCs/>
          <w:i/>
        </w:rPr>
        <w:t xml:space="preserve">Fig. 1. Predicción del LSTM propuesto (rojo sólido) vs. tráfico real (azul discontinuo) durante 48 h en dataset Milano, con bandas de confianza al 95% (sombreado rosa). RMSE=3.89 para τ=24.</w:t>
      </w:r>
    </w:p>
    <w:p>
      <w:pPr>
        <w:pStyle w:val="BodyText"/>
      </w:pPr>
      <w:r>
        <w:t xml:space="preserve">La visualización de los pesos de atención confirma la interpretabilidad de la arquitectura. La Figura 8 presenta el mapa de calor de pesos de atención del mecanismo de Bahdanau durante la predicción de un periodo de 6 horas. El eje horizontal representa los pasos del horizonte de predicción (1–24 pasos) y el eje vertical muestra los pasos de la secuencia de entrada (lookback=96). Las celdas más brillantes (amarillo-rojo) señalan mayor concentración de atención. Se distinguen tres patrones dominantes: (a) una banda horizontal brillante en los instantes recientes del encoder (</w:t>
      </w:r>
      <m:oMath>
        <m:r>
          <m:t>i</m:t>
        </m:r>
        <m:r>
          <m:rPr>
            <m:sty m:val="p"/>
          </m:rPr>
          <m:t>≈</m:t>
        </m:r>
        <m:r>
          <m:t>90</m:t>
        </m:r>
      </m:oMath>
      <w:r>
        <w:t xml:space="preserve">–</w:t>
      </w:r>
      <m:oMath>
        <m:r>
          <m:t>96</m:t>
        </m:r>
      </m:oMath>
      <w:r>
        <w:t xml:space="preserve">), reflejando la alta auto-correlación temporal de corto plazo; (b) una banda diagonal o específica en</w:t>
      </w:r>
      <w:r>
        <w:t xml:space="preserve"> </w:t>
      </w:r>
      <m:oMath>
        <m:r>
          <m:t>i</m:t>
        </m:r>
        <m:r>
          <m:rPr>
            <m:sty m:val="p"/>
          </m:rPr>
          <m:t>≈</m:t>
        </m:r>
        <m:r>
          <m:t>0</m:t>
        </m:r>
      </m:oMath>
      <w:r>
        <w:t xml:space="preserve">–</w:t>
      </w:r>
      <m:oMath>
        <m:r>
          <m:t>10</m:t>
        </m:r>
      </m:oMath>
      <w:r>
        <w:t xml:space="preserve"> </w:t>
      </w:r>
      <w:r>
        <w:t xml:space="preserve">(inicio de la ventana, correspondiente al mismo instante del día anterior), reflejando la correlación diaria; y (c) concentraciones pre-pico en los instantes que preceden a los picos diurnos históricos. Esta interpretabilidad valida que el LSTM aprende patrones semánticamente significativos y no solo memoriza la secuencia.</w:t>
      </w:r>
    </w:p>
    <w:p>
      <w:pPr>
        <w:pStyle w:val="BodyText"/>
      </w:pPr>
      <w:r>
        <w:rPr>
          <w:bCs/>
          <w:b/>
        </w:rPr>
        <w:t xml:space="preserve">Figura 8</w:t>
      </w:r>
      <w:r>
        <w:t xml:space="preserve"> </w:t>
      </w:r>
      <w:r>
        <w:rPr>
          <w:iCs/>
          <w:i/>
        </w:rPr>
        <w:t xml:space="preserve">Fig. 8. Mapa de calor de pesos de atención del LSTM propuesto (τ=24 pasos, lookback=96). Colores amarillo-rojo indican mayor atención. Se observan correlación reciente (filas superiores), periodicidad diaria (diagonal secundaria) y patrones pre-pico.</w:t>
      </w:r>
    </w:p>
    <w:p>
      <w:r>
        <w:pict>
          <v:rect style="width:0;height:1.5pt" o:hralign="center" o:hrstd="t" o:hr="t"/>
        </w:pict>
      </w:r>
    </w:p>
    <w:bookmarkEnd w:id="40"/>
    <w:bookmarkEnd w:id="41"/>
    <w:bookmarkStart w:id="48" w:name="Xf55faba59116ad1594b848d869ad465bb0c7952"/>
    <w:p>
      <w:pPr>
        <w:pStyle w:val="Heading2"/>
      </w:pPr>
      <w:r>
        <w:t xml:space="preserve">V. GESTIÓN PROACTIVA DE RECURSOS EN REDES 5G</w:t>
      </w:r>
    </w:p>
    <w:bookmarkStart w:id="42" w:name="a-marco-proactivo-versus-reactivo"/>
    <w:p>
      <w:pPr>
        <w:pStyle w:val="Heading3"/>
      </w:pPr>
      <w:r>
        <w:t xml:space="preserve">A. Marco Proactivo Versus Reactivo</w:t>
      </w:r>
    </w:p>
    <w:p>
      <w:pPr>
        <w:pStyle w:val="FirstParagraph"/>
      </w:pPr>
      <w:r>
        <w:t xml:space="preserve">La gestión reactiva de recursos toma decisiones de asignación en el instante</w:t>
      </w:r>
      <w:r>
        <w:t xml:space="preserve"> </w:t>
      </w:r>
      <m:oMath>
        <m:r>
          <m:t>t</m:t>
        </m:r>
      </m:oMath>
      <w:r>
        <w:t xml:space="preserve"> </w:t>
      </w:r>
      <w:r>
        <w:t xml:space="preserve">basándose únicamente en el estado observable del sistema en ese momento:</w:t>
      </w:r>
      <w:r>
        <w:t xml:space="preserve"> </w:t>
      </w:r>
      <m:oMath>
        <m:sSup>
          <m:e>
            <m:r>
              <m:rPr>
                <m:sty m:val="b"/>
              </m:rPr>
              <m:t>x</m:t>
            </m:r>
          </m:e>
          <m:sup>
            <m:r>
              <m:rPr>
                <m:nor/>
                <m:sty m:val="p"/>
              </m:rPr>
              <m:t>react</m:t>
            </m:r>
          </m:sup>
        </m:sSup>
        <m:d>
          <m:dPr>
            <m:begChr m:val="("/>
            <m:endChr m:val=")"/>
            <m:sepChr m:val=""/>
            <m:grow/>
          </m:dPr>
          <m:e>
            <m:r>
              <m:t>t</m:t>
            </m:r>
          </m:e>
        </m:d>
        <m:r>
          <m:rPr>
            <m:sty m:val="p"/>
          </m:rPr>
          <m:t>=</m:t>
        </m:r>
        <m:r>
          <m:t>g</m:t>
        </m:r>
        <m:d>
          <m:dPr>
            <m:begChr m:val="("/>
            <m:endChr m:val=")"/>
            <m:sepChr m:val=""/>
            <m:grow/>
          </m:dPr>
          <m:e>
            <m:r>
              <m:t>ψ</m:t>
            </m:r>
            <m:d>
              <m:dPr>
                <m:begChr m:val="("/>
                <m:endChr m:val=")"/>
                <m:sepChr m:val=""/>
                <m:grow/>
              </m:dPr>
              <m:e>
                <m:r>
                  <m:t>t</m:t>
                </m:r>
              </m:e>
            </m:d>
          </m:e>
        </m:d>
      </m:oMath>
      <w:r>
        <w:t xml:space="preserve">, donde</w:t>
      </w:r>
      <w:r>
        <w:t xml:space="preserve"> </w:t>
      </w:r>
      <m:oMath>
        <m:r>
          <m:t>ψ</m:t>
        </m:r>
        <m:d>
          <m:dPr>
            <m:begChr m:val="("/>
            <m:endChr m:val=")"/>
            <m:sepChr m:val=""/>
            <m:grow/>
          </m:dPr>
          <m:e>
            <m:r>
              <m:t>t</m:t>
            </m:r>
          </m:e>
        </m:d>
      </m:oMath>
      <w:r>
        <w:t xml:space="preserve"> </w:t>
      </w:r>
      <w:r>
        <w:t xml:space="preserve">es el vector de estado actual (carga, SINR, demanda activa). Este paradigma sufre de tres limitaciones fundamentales [7]:</w:t>
      </w:r>
      <w:r>
        <w:t xml:space="preserve"> </w:t>
      </w:r>
      <w:r>
        <w:rPr>
          <w:bCs/>
          <w:b/>
        </w:rPr>
        <w:t xml:space="preserve">(1) Retraso de reacción</w:t>
      </w:r>
      <w:r>
        <w:t xml:space="preserve">: entre la detección del aumento de demanda y la asignación de recursos transcurren múltiples ciclos de control, durante los cuales se producen bloqueos y degradación de QoS;</w:t>
      </w:r>
      <w:r>
        <w:t xml:space="preserve"> </w:t>
      </w:r>
      <w:r>
        <w:rPr>
          <w:bCs/>
          <w:b/>
        </w:rPr>
        <w:t xml:space="preserve">(2) Sub-utilización</w:t>
      </w:r>
      <w:r>
        <w:t xml:space="preserve">: durante periodos de baja carga, los recursos asignados</w:t>
      </w:r>
      <w:r>
        <w:t xml:space="preserve"> </w:t>
      </w:r>
      <w:r>
        <w:t xml:space="preserve">“</w:t>
      </w:r>
      <w:r>
        <w:t xml:space="preserve">por seguridad</w:t>
      </w:r>
      <w:r>
        <w:t xml:space="preserve">”</w:t>
      </w:r>
      <w:r>
        <w:t xml:space="preserve"> </w:t>
      </w:r>
      <w:r>
        <w:t xml:space="preserve">no se liberan a tiempo, reduciendo la eficiencia de utilización;</w:t>
      </w:r>
      <w:r>
        <w:t xml:space="preserve"> </w:t>
      </w:r>
      <w:r>
        <w:rPr>
          <w:bCs/>
          <w:b/>
        </w:rPr>
        <w:t xml:space="preserve">(3) Miopía temporal</w:t>
      </w:r>
      <w:r>
        <w:t xml:space="preserve">: las decisiones son óptimas para el instante</w:t>
      </w:r>
      <w:r>
        <w:t xml:space="preserve"> </w:t>
      </w:r>
      <m:oMath>
        <m:r>
          <m:t>t</m:t>
        </m:r>
      </m:oMath>
      <w:r>
        <w:t xml:space="preserve"> </w:t>
      </w:r>
      <w:r>
        <w:t xml:space="preserve">pero subóptimas para el horizonte</w:t>
      </w:r>
      <w:r>
        <w:t xml:space="preserve"> </w:t>
      </w:r>
      <m:oMath>
        <m:d>
          <m:dPr>
            <m:begChr m:val="["/>
            <m:endChr m:val="]"/>
            <m:sepChr m:val=""/>
            <m:grow/>
          </m:dPr>
          <m:e>
            <m:r>
              <m:t>t</m:t>
            </m:r>
            <m:r>
              <m:rPr>
                <m:sty m:val="p"/>
              </m:rPr>
              <m:t>,</m:t>
            </m:r>
            <m:r>
              <m:t>t</m:t>
            </m:r>
            <m:r>
              <m:rPr>
                <m:sty m:val="p"/>
              </m:rPr>
              <m:t>+</m:t>
            </m:r>
            <m:r>
              <m:t>τ</m:t>
            </m:r>
          </m:e>
        </m:d>
      </m:oMath>
      <w:r>
        <w:t xml:space="preserve">.</w:t>
      </w:r>
    </w:p>
    <w:p>
      <w:pPr>
        <w:pStyle w:val="BodyText"/>
      </w:pPr>
      <w:r>
        <w:t xml:space="preserve">La gestión proactiva, habilitada por predicciones de alta calidad, resuelve un problema de optimización que considera el horizonte futuro:</w:t>
      </w:r>
      <w:r>
        <w:t xml:space="preserve"> </w:t>
      </w:r>
      <m:oMath>
        <m:sSup>
          <m:e>
            <m:r>
              <m:rPr>
                <m:sty m:val="b"/>
              </m:rPr>
              <m:t>x</m:t>
            </m:r>
          </m:e>
          <m:sup>
            <m:r>
              <m:rPr>
                <m:nor/>
                <m:sty m:val="p"/>
              </m:rPr>
              <m:t>proa</m:t>
            </m:r>
          </m:sup>
        </m:sSup>
        <m:d>
          <m:dPr>
            <m:begChr m:val="("/>
            <m:endChr m:val=")"/>
            <m:sepChr m:val=""/>
            <m:grow/>
          </m:dPr>
          <m:e>
            <m:r>
              <m:t>t</m:t>
            </m:r>
          </m:e>
        </m:d>
        <m:r>
          <m:rPr>
            <m:sty m:val="p"/>
          </m:rPr>
          <m:t>=</m:t>
        </m:r>
        <m:r>
          <m:rPr>
            <m:sty m:val="p"/>
          </m:rPr>
          <m:t>arg</m:t>
        </m:r>
        <m:sSub>
          <m:e>
            <m:r>
              <m:rPr>
                <m:sty m:val="p"/>
              </m:rPr>
              <m:t>min</m:t>
            </m:r>
          </m:e>
          <m:sub>
            <m:r>
              <m:rPr>
                <m:sty m:val="b"/>
              </m:rPr>
              <m:t>x</m:t>
            </m:r>
          </m:sub>
        </m:sSub>
        <m:r>
          <m:t>J</m:t>
        </m:r>
        <m:d>
          <m:dPr>
            <m:begChr m:val="("/>
            <m:endChr m:val=")"/>
            <m:sepChr m:val=""/>
            <m:grow/>
          </m:dPr>
          <m:e>
            <m:r>
              <m:rPr>
                <m:sty m:val="b"/>
              </m:rPr>
              <m:t>x</m:t>
            </m:r>
            <m:r>
              <m:rPr>
                <m:sty m:val="p"/>
              </m:rPr>
              <m:t>,</m:t>
            </m:r>
            <m:acc>
              <m:accPr>
                <m:chr m:val="̂"/>
              </m:accPr>
              <m:e>
                <m:r>
                  <m:rPr>
                    <m:sty m:val="b"/>
                  </m:rPr>
                  <m:t>d</m:t>
                </m:r>
              </m:e>
            </m:acc>
            <m:d>
              <m:dPr>
                <m:begChr m:val="("/>
                <m:endChr m:val=")"/>
                <m:sepChr m:val=""/>
                <m:grow/>
              </m:dPr>
              <m:e>
                <m:r>
                  <m:t>t</m:t>
                </m:r>
                <m:r>
                  <m:rPr>
                    <m:sty m:val="p"/>
                  </m:rPr>
                  <m:t>+</m:t>
                </m:r>
                <m:r>
                  <m:t>1</m:t>
                </m:r>
                <m:r>
                  <m:rPr>
                    <m:sty m:val="p"/>
                  </m:rPr>
                  <m:t>:</m:t>
                </m:r>
                <m:r>
                  <m:t>τ</m:t>
                </m:r>
              </m:e>
            </m:d>
          </m:e>
        </m:d>
      </m:oMath>
      <w:r>
        <w:t xml:space="preserve">, donde</w:t>
      </w:r>
      <w:r>
        <w:t xml:space="preserve"> </w:t>
      </w:r>
      <m:oMath>
        <m:acc>
          <m:accPr>
            <m:chr m:val="̂"/>
          </m:accPr>
          <m:e>
            <m:r>
              <m:rPr>
                <m:sty m:val="b"/>
              </m:rPr>
              <m:t>d</m:t>
            </m:r>
          </m:e>
        </m:acc>
        <m:d>
          <m:dPr>
            <m:begChr m:val="("/>
            <m:endChr m:val=")"/>
            <m:sepChr m:val=""/>
            <m:grow/>
          </m:dPr>
          <m:e>
            <m:r>
              <m:t>t</m:t>
            </m:r>
            <m:r>
              <m:rPr>
                <m:sty m:val="p"/>
              </m:rPr>
              <m:t>+</m:t>
            </m:r>
            <m:r>
              <m:t>k</m:t>
            </m:r>
          </m:e>
        </m:d>
      </m:oMath>
      <w:r>
        <w:t xml:space="preserve"> </w:t>
      </w:r>
      <w:r>
        <w:t xml:space="preserve">son las demandas predichas por el LSTM propuesto. La Figura 5 ilustra la diferencia fundamental entre ambos paradigmas.</w:t>
      </w:r>
    </w:p>
    <w:bookmarkEnd w:id="42"/>
    <w:bookmarkStart w:id="43" w:name="X7a471d31a77ad123b233cb1ffda85d75fdcd5a0"/>
    <w:p>
      <w:pPr>
        <w:pStyle w:val="Heading3"/>
      </w:pPr>
      <w:r>
        <w:t xml:space="preserve">B. Formulación del Problema de Optimización Base</w:t>
      </w:r>
    </w:p>
    <w:p>
      <w:pPr>
        <w:pStyle w:val="FirstParagraph"/>
      </w:pPr>
      <w:r>
        <w:t xml:space="preserve">Sea</w:t>
      </w:r>
      <w:r>
        <w:t xml:space="preserve"> </w:t>
      </w:r>
      <m:oMath>
        <m:r>
          <m:t>S</m:t>
        </m:r>
      </m:oMath>
      <w:r>
        <w:t xml:space="preserve"> </w:t>
      </w:r>
      <w:r>
        <w:t xml:space="preserve">el número de slices,</w:t>
      </w:r>
      <w:r>
        <w:t xml:space="preserve"> </w:t>
      </w:r>
      <m:oMath>
        <m:sSub>
          <m:e>
            <m:r>
              <m:t>N</m:t>
            </m:r>
          </m:e>
          <m:sub>
            <m:r>
              <m:rPr>
                <m:nor/>
                <m:sty m:val="p"/>
              </m:rPr>
              <m:t>PRB</m:t>
            </m:r>
          </m:sub>
        </m:sSub>
      </m:oMath>
      <w:r>
        <w:t xml:space="preserve"> </w:t>
      </w:r>
      <w:r>
        <w:t xml:space="preserve">el número total de bloques de recursos radio (PRBs),</w:t>
      </w:r>
      <w:r>
        <w:t xml:space="preserve"> </w:t>
      </w:r>
      <m:oMath>
        <m:sSubSup>
          <m:e>
            <m:r>
              <m:t>x</m:t>
            </m:r>
          </m:e>
          <m:sub>
            <m:r>
              <m:t>s</m:t>
            </m:r>
          </m:sub>
          <m:sup>
            <m:d>
              <m:dPr>
                <m:begChr m:val="("/>
                <m:endChr m:val=")"/>
                <m:sepChr m:val=""/>
                <m:grow/>
              </m:dPr>
              <m:e>
                <m:r>
                  <m:rPr>
                    <m:nor/>
                    <m:sty m:val="p"/>
                  </m:rPr>
                  <m:t>PRB</m:t>
                </m:r>
              </m:e>
            </m:d>
          </m:sup>
        </m:sSubSup>
        <m:d>
          <m:dPr>
            <m:begChr m:val="("/>
            <m:endChr m:val=")"/>
            <m:sepChr m:val=""/>
            <m:grow/>
          </m:dPr>
          <m:e>
            <m:r>
              <m:t>t</m:t>
            </m:r>
            <m:r>
              <m:rPr>
                <m:sty m:val="p"/>
              </m:rPr>
              <m:t>+</m:t>
            </m:r>
            <m:r>
              <m:t>k</m:t>
            </m:r>
          </m:e>
        </m:d>
      </m:oMath>
      <w:r>
        <w:t xml:space="preserve"> </w:t>
      </w:r>
      <w:r>
        <w:t xml:space="preserve">la asignación de PRBs al slice</w:t>
      </w:r>
      <w:r>
        <w:t xml:space="preserve"> </w:t>
      </w:r>
      <m:oMath>
        <m:r>
          <m:t>s</m:t>
        </m:r>
      </m:oMath>
      <w:r>
        <w:t xml:space="preserve"> </w:t>
      </w:r>
      <w:r>
        <w:t xml:space="preserve">en el horizonte</w:t>
      </w:r>
      <w:r>
        <w:t xml:space="preserve"> </w:t>
      </w:r>
      <m:oMath>
        <m:r>
          <m:t>k</m:t>
        </m:r>
      </m:oMath>
      <w:r>
        <w:t xml:space="preserve">, y</w:t>
      </w:r>
      <w:r>
        <w:t xml:space="preserve"> </w:t>
      </w:r>
      <m:oMath>
        <m:sSub>
          <m:e>
            <m:r>
              <m:t>p</m:t>
            </m:r>
          </m:e>
          <m:sub>
            <m:r>
              <m:t>s</m:t>
            </m:r>
          </m:sub>
        </m:sSub>
        <m:d>
          <m:dPr>
            <m:begChr m:val="("/>
            <m:endChr m:val=")"/>
            <m:sepChr m:val=""/>
            <m:grow/>
          </m:dPr>
          <m:e>
            <m:r>
              <m:t>t</m:t>
            </m:r>
            <m:r>
              <m:rPr>
                <m:sty m:val="p"/>
              </m:rPr>
              <m:t>+</m:t>
            </m:r>
            <m:r>
              <m:t>k</m:t>
            </m:r>
          </m:e>
        </m:d>
      </m:oMath>
      <w:r>
        <w:t xml:space="preserve"> </w:t>
      </w:r>
      <w:r>
        <w:t xml:space="preserve">la potencia de transmisión. La función objetivo multi-criterio balancea el costo de capacidad</w:t>
      </w:r>
      <w:r>
        <w:t xml:space="preserve"> </w:t>
      </w:r>
      <m:oMath>
        <m:r>
          <m:t>C</m:t>
        </m:r>
        <m:d>
          <m:dPr>
            <m:begChr m:val="("/>
            <m:endChr m:val=")"/>
            <m:sepChr m:val=""/>
            <m:grow/>
          </m:dPr>
          <m:e>
            <m:r>
              <m:rPr>
                <m:sty m:val="p"/>
              </m:rPr>
              <m:t>⋅</m:t>
            </m:r>
          </m:e>
        </m:d>
      </m:oMath>
      <w:r>
        <w:t xml:space="preserve"> </w:t>
      </w:r>
      <w:r>
        <w:t xml:space="preserve">y el consumo energético</w:t>
      </w:r>
      <w:r>
        <w:t xml:space="preserve"> </w:t>
      </w:r>
      <m:oMath>
        <m:r>
          <m:t>E</m:t>
        </m:r>
        <m:d>
          <m:dPr>
            <m:begChr m:val="("/>
            <m:endChr m:val=")"/>
            <m:sepChr m:val=""/>
            <m:grow/>
          </m:dPr>
          <m:e>
            <m:r>
              <m:rPr>
                <m:sty m:val="p"/>
              </m:rPr>
              <m:t>⋅</m:t>
            </m:r>
          </m:e>
        </m:d>
      </m:oMath>
      <w:r>
        <w:t xml:space="preserve"> </w:t>
      </w:r>
      <w:r>
        <w:t xml:space="preserve">sobre el horizonte de optimización [38]–[40]:</w:t>
      </w:r>
    </w:p>
    <w:p>
      <w:pPr>
        <w:pStyle w:val="BodyText"/>
      </w:pPr>
      <m:oMathPara>
        <m:oMathParaPr>
          <m:jc m:val="center"/>
        </m:oMathParaPr>
        <m:oMath>
          <m:limLow>
            <m:e>
              <m:r>
                <m:rPr>
                  <m:sty m:val="p"/>
                </m:rPr>
                <m:t>min</m:t>
              </m:r>
            </m:e>
            <m:lim>
              <m:r>
                <m:rPr>
                  <m:sty m:val="p"/>
                </m:rPr>
                <m:t>{</m:t>
              </m:r>
              <m:sSub>
                <m:e>
                  <m:r>
                    <m:t>x</m:t>
                  </m:r>
                </m:e>
                <m:sub>
                  <m:r>
                    <m:t>s</m:t>
                  </m:r>
                </m:sub>
              </m:sSub>
              <m:r>
                <m:rPr>
                  <m:sty m:val="p"/>
                </m:rPr>
                <m:t>,</m:t>
              </m:r>
              <m:sSub>
                <m:e>
                  <m:r>
                    <m:t>p</m:t>
                  </m:r>
                </m:e>
                <m:sub>
                  <m:r>
                    <m:t>s</m:t>
                  </m:r>
                </m:sub>
              </m:sSub>
              <m:r>
                <m:rPr>
                  <m:sty m:val="p"/>
                </m:rPr>
                <m:t>}</m:t>
              </m:r>
            </m:lim>
          </m:limLow>
          <m:r>
            <m:t> </m:t>
          </m:r>
          <m:nary>
            <m:naryPr>
              <m:chr m:val="∑"/>
              <m:limLoc m:val="undOvr"/>
              <m:subHide m:val="0"/>
              <m:supHide m:val="0"/>
            </m:naryPr>
            <m:sub>
              <m:r>
                <m:t>k</m:t>
              </m:r>
              <m:r>
                <m:rPr>
                  <m:sty m:val="p"/>
                </m:rPr>
                <m:t>=</m:t>
              </m:r>
              <m:r>
                <m:t>1</m:t>
              </m:r>
            </m:sub>
            <m:sup>
              <m:r>
                <m:t>τ</m:t>
              </m:r>
            </m:sup>
            <m:e>
              <m:sSup>
                <m:e>
                  <m:r>
                    <m:t>γ</m:t>
                  </m:r>
                </m:e>
                <m:sup>
                  <m:r>
                    <m:t>k</m:t>
                  </m:r>
                  <m:r>
                    <m:rPr>
                      <m:sty m:val="p"/>
                    </m:rPr>
                    <m:t>−</m:t>
                  </m:r>
                  <m:r>
                    <m:t>1</m:t>
                  </m:r>
                </m:sup>
              </m:sSup>
            </m:e>
          </m:nary>
          <m:d>
            <m:dPr>
              <m:begChr m:val="["/>
              <m:endChr m:val="]"/>
              <m:sepChr m:val=""/>
              <m:grow/>
            </m:dPr>
            <m:e>
              <m:r>
                <m:t>α</m:t>
              </m:r>
              <m:r>
                <m:t> </m:t>
              </m:r>
              <m:r>
                <m:t>C</m:t>
              </m:r>
              <m:d>
                <m:dPr>
                  <m:begChr m:val="("/>
                  <m:endChr m:val=")"/>
                  <m:sepChr m:val=""/>
                  <m:grow/>
                </m:dPr>
                <m:e>
                  <m:r>
                    <m:rPr>
                      <m:sty m:val="b"/>
                    </m:rPr>
                    <m:t>x</m:t>
                  </m:r>
                  <m:d>
                    <m:dPr>
                      <m:begChr m:val="("/>
                      <m:endChr m:val=")"/>
                      <m:sepChr m:val=""/>
                      <m:grow/>
                    </m:dPr>
                    <m:e>
                      <m:r>
                        <m:t>t</m:t>
                      </m:r>
                      <m:r>
                        <m:rPr>
                          <m:sty m:val="p"/>
                        </m:rPr>
                        <m:t>+</m:t>
                      </m:r>
                      <m:r>
                        <m:t>k</m:t>
                      </m:r>
                    </m:e>
                  </m:d>
                </m:e>
              </m:d>
              <m:r>
                <m:rPr>
                  <m:sty m:val="p"/>
                </m:rPr>
                <m:t>+</m:t>
              </m:r>
              <m:d>
                <m:dPr>
                  <m:begChr m:val="("/>
                  <m:endChr m:val=")"/>
                  <m:sepChr m:val=""/>
                  <m:grow/>
                </m:dPr>
                <m:e>
                  <m:r>
                    <m:t>1</m:t>
                  </m:r>
                  <m:r>
                    <m:rPr>
                      <m:sty m:val="p"/>
                    </m:rPr>
                    <m:t>−</m:t>
                  </m:r>
                  <m:r>
                    <m:t>α</m:t>
                  </m:r>
                </m:e>
              </m:d>
              <m:r>
                <m:t> </m:t>
              </m:r>
              <m:r>
                <m:t>E</m:t>
              </m:r>
              <m:d>
                <m:dPr>
                  <m:begChr m:val="("/>
                  <m:endChr m:val=")"/>
                  <m:sepChr m:val=""/>
                  <m:grow/>
                </m:dPr>
                <m:e>
                  <m:r>
                    <m:rPr>
                      <m:sty m:val="b"/>
                    </m:rPr>
                    <m:t>x</m:t>
                  </m:r>
                  <m:d>
                    <m:dPr>
                      <m:begChr m:val="("/>
                      <m:endChr m:val=")"/>
                      <m:sepChr m:val=""/>
                      <m:grow/>
                    </m:dPr>
                    <m:e>
                      <m:r>
                        <m:t>t</m:t>
                      </m:r>
                      <m:r>
                        <m:rPr>
                          <m:sty m:val="p"/>
                        </m:rPr>
                        <m:t>+</m:t>
                      </m:r>
                      <m:r>
                        <m:t>k</m:t>
                      </m:r>
                    </m:e>
                  </m:d>
                </m:e>
              </m:d>
            </m:e>
          </m:d>
        </m:oMath>
      </m:oMathPara>
    </w:p>
    <w:p>
      <w:pPr>
        <w:pStyle w:val="FirstParagraph"/>
      </w:pPr>
      <w:r>
        <w:rPr>
          <w:bCs/>
          <w:b/>
        </w:rPr>
        <w:t xml:space="preserve">sujeto a las siguientes restricciones</w:t>
      </w:r>
      <w:r>
        <w:t xml:space="preserve">:</w:t>
      </w:r>
    </w:p>
    <w:p>
      <w:pPr>
        <w:pStyle w:val="BodyText"/>
      </w:pPr>
      <w:r>
        <w:rPr>
          <w:iCs/>
          <w:i/>
        </w:rPr>
        <w:t xml:space="preserve">Restricción de capacidad PRB</w:t>
      </w:r>
      <w:r>
        <w:t xml:space="preserve">:</w:t>
      </w:r>
    </w:p>
    <w:p>
      <w:pPr>
        <w:pStyle w:val="BodyText"/>
      </w:pPr>
      <m:oMathPara>
        <m:oMathParaPr>
          <m:jc m:val="center"/>
        </m:oMathParaPr>
        <m:oMath>
          <m:nary>
            <m:naryPr>
              <m:chr m:val="∑"/>
              <m:limLoc m:val="undOvr"/>
              <m:subHide m:val="0"/>
              <m:supHide m:val="0"/>
            </m:naryPr>
            <m:sub>
              <m:r>
                <m:t>s</m:t>
              </m:r>
              <m:r>
                <m:rPr>
                  <m:sty m:val="p"/>
                </m:rPr>
                <m:t>=</m:t>
              </m:r>
              <m:r>
                <m:t>1</m:t>
              </m:r>
            </m:sub>
            <m:sup>
              <m:r>
                <m:t>S</m:t>
              </m:r>
            </m:sup>
            <m:e>
              <m:sSubSup>
                <m:e>
                  <m:r>
                    <m:t>x</m:t>
                  </m:r>
                </m:e>
                <m:sub>
                  <m:r>
                    <m:t>s</m:t>
                  </m:r>
                </m:sub>
                <m:sup>
                  <m:d>
                    <m:dPr>
                      <m:begChr m:val="("/>
                      <m:endChr m:val=")"/>
                      <m:sepChr m:val=""/>
                      <m:grow/>
                    </m:dPr>
                    <m:e>
                      <m:r>
                        <m:rPr>
                          <m:nor/>
                          <m:sty m:val="p"/>
                        </m:rPr>
                        <m:t>PRB</m:t>
                      </m:r>
                    </m:e>
                  </m:d>
                </m:sup>
              </m:sSubSup>
            </m:e>
          </m:nary>
          <m:d>
            <m:dPr>
              <m:begChr m:val="("/>
              <m:endChr m:val=")"/>
              <m:sepChr m:val=""/>
              <m:grow/>
            </m:dPr>
            <m:e>
              <m:r>
                <m:t>t</m:t>
              </m:r>
              <m:r>
                <m:rPr>
                  <m:sty m:val="p"/>
                </m:rPr>
                <m:t>+</m:t>
              </m:r>
              <m:r>
                <m:t>k</m:t>
              </m:r>
            </m:e>
          </m:d>
          <m:r>
            <m:rPr>
              <m:sty m:val="p"/>
            </m:rPr>
            <m:t>≤</m:t>
          </m:r>
          <m:sSub>
            <m:e>
              <m:r>
                <m:t>N</m:t>
              </m:r>
            </m:e>
            <m:sub>
              <m:r>
                <m:rPr>
                  <m:nor/>
                  <m:sty m:val="p"/>
                </m:rPr>
                <m:t>PRB</m:t>
              </m:r>
            </m:sub>
          </m:sSub>
          <m:r>
            <m:rPr>
              <m:sty m:val="p"/>
            </m:rPr>
            <m:t>,</m:t>
          </m:r>
          <m:r>
            <m:t> </m:t>
          </m:r>
          <m:r>
            <m:rPr>
              <m:sty m:val="p"/>
            </m:rPr>
            <m:t>∀</m:t>
          </m:r>
          <m:r>
            <m:t>k</m:t>
          </m:r>
          <m:r>
            <m:rPr>
              <m:sty m:val="p"/>
            </m:rPr>
            <m:t>∈</m:t>
          </m:r>
          <m:r>
            <m:rPr>
              <m:sty m:val="p"/>
            </m:rPr>
            <m:t>{</m:t>
          </m:r>
          <m:r>
            <m:t>1</m:t>
          </m:r>
          <m:r>
            <m:rPr>
              <m:sty m:val="p"/>
            </m:rPr>
            <m:t>,</m:t>
          </m:r>
          <m:r>
            <m:rPr>
              <m:sty m:val="p"/>
            </m:rPr>
            <m:t>…</m:t>
          </m:r>
          <m:r>
            <m:rPr>
              <m:sty m:val="p"/>
            </m:rPr>
            <m:t>,</m:t>
          </m:r>
          <m:r>
            <m:t>τ</m:t>
          </m:r>
          <m:r>
            <m:rPr>
              <m:sty m:val="p"/>
            </m:rPr>
            <m:t>}</m:t>
          </m:r>
        </m:oMath>
      </m:oMathPara>
    </w:p>
    <w:p>
      <w:pPr>
        <w:pStyle w:val="FirstParagraph"/>
      </w:pPr>
      <w:r>
        <w:rPr>
          <w:iCs/>
          <w:i/>
        </w:rPr>
        <w:t xml:space="preserve">Restricción de demanda mínima por slice</w:t>
      </w:r>
      <w:r>
        <w:t xml:space="preserve"> </w:t>
      </w:r>
      <w:r>
        <w:t xml:space="preserve">(garantía de SLA):</w:t>
      </w:r>
    </w:p>
    <w:p>
      <w:pPr>
        <w:pStyle w:val="BodyText"/>
      </w:pPr>
      <m:oMathPara>
        <m:oMathParaPr>
          <m:jc m:val="center"/>
        </m:oMathParaPr>
        <m:oMath>
          <m:sSubSup>
            <m:e>
              <m:r>
                <m:t>x</m:t>
              </m:r>
            </m:e>
            <m:sub>
              <m:r>
                <m:t>s</m:t>
              </m:r>
            </m:sub>
            <m:sup>
              <m:d>
                <m:dPr>
                  <m:begChr m:val="("/>
                  <m:endChr m:val=")"/>
                  <m:sepChr m:val=""/>
                  <m:grow/>
                </m:dPr>
                <m:e>
                  <m:r>
                    <m:rPr>
                      <m:nor/>
                      <m:sty m:val="p"/>
                    </m:rPr>
                    <m:t>PRB</m:t>
                  </m:r>
                </m:e>
              </m:d>
            </m:sup>
          </m:sSubSup>
          <m:d>
            <m:dPr>
              <m:begChr m:val="("/>
              <m:endChr m:val=")"/>
              <m:sepChr m:val=""/>
              <m:grow/>
            </m:dPr>
            <m:e>
              <m:r>
                <m:t>t</m:t>
              </m:r>
              <m:r>
                <m:rPr>
                  <m:sty m:val="p"/>
                </m:rPr>
                <m:t>+</m:t>
              </m:r>
              <m:r>
                <m:t>k</m:t>
              </m:r>
            </m:e>
          </m:d>
          <m:r>
            <m:rPr>
              <m:sty m:val="p"/>
            </m:rPr>
            <m:t>≥</m:t>
          </m:r>
          <m:f>
            <m:fPr>
              <m:type m:val="bar"/>
            </m:fPr>
            <m:num>
              <m:sSub>
                <m:e>
                  <m:acc>
                    <m:accPr>
                      <m:chr m:val="̂"/>
                    </m:accPr>
                    <m:e>
                      <m:r>
                        <m:t>d</m:t>
                      </m:r>
                    </m:e>
                  </m:acc>
                </m:e>
                <m:sub>
                  <m:r>
                    <m:t>s</m:t>
                  </m:r>
                </m:sub>
              </m:sSub>
              <m:d>
                <m:dPr>
                  <m:begChr m:val="("/>
                  <m:endChr m:val=")"/>
                  <m:sepChr m:val=""/>
                  <m:grow/>
                </m:dPr>
                <m:e>
                  <m:r>
                    <m:t>t</m:t>
                  </m:r>
                  <m:r>
                    <m:rPr>
                      <m:sty m:val="p"/>
                    </m:rPr>
                    <m:t>+</m:t>
                  </m:r>
                  <m:r>
                    <m:t>k</m:t>
                  </m:r>
                </m:e>
              </m:d>
            </m:num>
            <m:den>
              <m:sSubSup>
                <m:e>
                  <m:r>
                    <m:t>r</m:t>
                  </m:r>
                </m:e>
                <m:sub>
                  <m:r>
                    <m:t>s</m:t>
                  </m:r>
                </m:sub>
                <m:sup>
                  <m:r>
                    <m:rPr>
                      <m:sty m:val="p"/>
                    </m:rPr>
                    <m:t>max</m:t>
                  </m:r>
                </m:sup>
              </m:sSubSup>
            </m:den>
          </m:f>
          <m:r>
            <m:rPr>
              <m:sty m:val="p"/>
            </m:rPr>
            <m:t>,</m:t>
          </m:r>
          <m:r>
            <m:t> </m:t>
          </m:r>
          <m:r>
            <m:rPr>
              <m:sty m:val="p"/>
            </m:rPr>
            <m:t>∀</m:t>
          </m:r>
          <m:r>
            <m:t>s</m:t>
          </m:r>
          <m:r>
            <m:rPr>
              <m:sty m:val="p"/>
            </m:rPr>
            <m:t>,</m:t>
          </m:r>
          <m:r>
            <m:t> </m:t>
          </m:r>
          <m:r>
            <m:t>k</m:t>
          </m:r>
        </m:oMath>
      </m:oMathPara>
    </w:p>
    <w:p>
      <w:pPr>
        <w:pStyle w:val="FirstParagraph"/>
      </w:pPr>
      <w:r>
        <w:t xml:space="preserve">donde</w:t>
      </w:r>
      <w:r>
        <w:t xml:space="preserve"> </w:t>
      </w:r>
      <m:oMath>
        <m:sSubSup>
          <m:e>
            <m:r>
              <m:t>r</m:t>
            </m:r>
          </m:e>
          <m:sub>
            <m:r>
              <m:t>s</m:t>
            </m:r>
          </m:sub>
          <m:sup>
            <m:r>
              <m:rPr>
                <m:sty m:val="p"/>
              </m:rPr>
              <m:t>max</m:t>
            </m:r>
          </m:sup>
        </m:sSubSup>
      </m:oMath>
      <w:r>
        <w:t xml:space="preserve"> </w:t>
      </w:r>
      <w:r>
        <w:t xml:space="preserve">es la eficiencia espectral máxima del slice</w:t>
      </w:r>
      <w:r>
        <w:t xml:space="preserve"> </w:t>
      </w:r>
      <m:oMath>
        <m:r>
          <m:t>s</m:t>
        </m:r>
      </m:oMath>
      <w:r>
        <w:t xml:space="preserve"> </w:t>
      </w:r>
      <w:r>
        <w:t xml:space="preserve">(bits/s/Hz).</w:t>
      </w:r>
    </w:p>
    <w:p>
      <w:pPr>
        <w:pStyle w:val="BodyText"/>
      </w:pPr>
      <w:r>
        <w:rPr>
          <w:iCs/>
          <w:i/>
        </w:rPr>
        <w:t xml:space="preserve">Restricción de latencia</w:t>
      </w:r>
      <w:r>
        <w:t xml:space="preserve"> </w:t>
      </w:r>
      <w:r>
        <w:t xml:space="preserve">(QoS por slice):</w:t>
      </w:r>
    </w:p>
    <w:p>
      <w:pPr>
        <w:pStyle w:val="BodyText"/>
      </w:pPr>
      <m:oMathPara>
        <m:oMathParaPr>
          <m:jc m:val="center"/>
        </m:oMathParaPr>
        <m:oMath>
          <m:sSub>
            <m:e>
              <m:r>
                <m:rPr>
                  <m:sty m:val="p"/>
                </m:rPr>
                <m:t>ℓ</m:t>
              </m:r>
            </m:e>
            <m:sub>
              <m:r>
                <m:t>s</m:t>
              </m:r>
            </m:sub>
          </m:sSub>
          <m:r>
            <m:t>​</m:t>
          </m:r>
          <m:d>
            <m:dPr>
              <m:begChr m:val="("/>
              <m:endChr m:val=")"/>
              <m:sepChr m:val=""/>
              <m:grow/>
            </m:dPr>
            <m:e>
              <m:r>
                <m:rPr>
                  <m:sty m:val="b"/>
                </m:rPr>
                <m:t>x</m:t>
              </m:r>
              <m:d>
                <m:dPr>
                  <m:begChr m:val="("/>
                  <m:endChr m:val=")"/>
                  <m:sepChr m:val=""/>
                  <m:grow/>
                </m:dPr>
                <m:e>
                  <m:r>
                    <m:t>t</m:t>
                  </m:r>
                  <m:r>
                    <m:rPr>
                      <m:sty m:val="p"/>
                    </m:rPr>
                    <m:t>+</m:t>
                  </m:r>
                  <m:r>
                    <m:t>k</m:t>
                  </m:r>
                </m:e>
              </m:d>
              <m:r>
                <m:rPr>
                  <m:sty m:val="p"/>
                </m:rPr>
                <m:t>,</m:t>
              </m:r>
              <m:r>
                <m:t> </m:t>
              </m:r>
              <m:acc>
                <m:accPr>
                  <m:chr m:val="̂"/>
                </m:accPr>
                <m:e>
                  <m:r>
                    <m:rPr>
                      <m:sty m:val="b"/>
                    </m:rPr>
                    <m:t>d</m:t>
                  </m:r>
                </m:e>
              </m:acc>
              <m:d>
                <m:dPr>
                  <m:begChr m:val="("/>
                  <m:endChr m:val=")"/>
                  <m:sepChr m:val=""/>
                  <m:grow/>
                </m:dPr>
                <m:e>
                  <m:r>
                    <m:t>t</m:t>
                  </m:r>
                  <m:r>
                    <m:rPr>
                      <m:sty m:val="p"/>
                    </m:rPr>
                    <m:t>+</m:t>
                  </m:r>
                  <m:r>
                    <m:t>k</m:t>
                  </m:r>
                </m:e>
              </m:d>
            </m:e>
          </m:d>
          <m:r>
            <m:rPr>
              <m:sty m:val="p"/>
            </m:rPr>
            <m:t>≤</m:t>
          </m:r>
          <m:sSubSup>
            <m:e>
              <m:r>
                <m:rPr>
                  <m:sty m:val="p"/>
                </m:rPr>
                <m:t>ℓ</m:t>
              </m:r>
            </m:e>
            <m:sub>
              <m:r>
                <m:t>s</m:t>
              </m:r>
            </m:sub>
            <m:sup>
              <m:r>
                <m:rPr>
                  <m:sty m:val="p"/>
                </m:rPr>
                <m:t>max</m:t>
              </m:r>
            </m:sup>
          </m:sSubSup>
          <m:r>
            <m:rPr>
              <m:sty m:val="p"/>
            </m:rPr>
            <m:t>,</m:t>
          </m:r>
          <m:r>
            <m:t> </m:t>
          </m:r>
          <m:r>
            <m:rPr>
              <m:sty m:val="p"/>
            </m:rPr>
            <m:t>∀</m:t>
          </m:r>
          <m:r>
            <m:t>s</m:t>
          </m:r>
          <m:r>
            <m:rPr>
              <m:sty m:val="p"/>
            </m:rPr>
            <m:t>,</m:t>
          </m:r>
          <m:r>
            <m:t> </m:t>
          </m:r>
          <m:r>
            <m:t>k</m:t>
          </m:r>
        </m:oMath>
      </m:oMathPara>
    </w:p>
    <w:p>
      <w:pPr>
        <w:pStyle w:val="FirstParagraph"/>
      </w:pPr>
      <w:r>
        <w:rPr>
          <w:iCs/>
          <w:i/>
        </w:rPr>
        <w:t xml:space="preserve">Restricción de potencia total</w:t>
      </w:r>
      <w:r>
        <w:t xml:space="preserve">:</w:t>
      </w:r>
    </w:p>
    <w:p>
      <w:pPr>
        <w:pStyle w:val="BodyText"/>
      </w:pPr>
      <m:oMathPara>
        <m:oMathParaPr>
          <m:jc m:val="center"/>
        </m:oMathParaPr>
        <m:oMath>
          <m:nary>
            <m:naryPr>
              <m:chr m:val="∑"/>
              <m:limLoc m:val="undOvr"/>
              <m:subHide m:val="0"/>
              <m:supHide m:val="0"/>
            </m:naryPr>
            <m:sub>
              <m:r>
                <m:t>s</m:t>
              </m:r>
              <m:r>
                <m:rPr>
                  <m:sty m:val="p"/>
                </m:rPr>
                <m:t>=</m:t>
              </m:r>
              <m:r>
                <m:t>1</m:t>
              </m:r>
            </m:sub>
            <m:sup>
              <m:r>
                <m:t>S</m:t>
              </m:r>
            </m:sup>
            <m:e>
              <m:sSub>
                <m:e>
                  <m:r>
                    <m:t>p</m:t>
                  </m:r>
                </m:e>
                <m:sub>
                  <m:r>
                    <m:t>s</m:t>
                  </m:r>
                </m:sub>
              </m:sSub>
            </m:e>
          </m:nary>
          <m:d>
            <m:dPr>
              <m:begChr m:val="("/>
              <m:endChr m:val=")"/>
              <m:sepChr m:val=""/>
              <m:grow/>
            </m:dPr>
            <m:e>
              <m:r>
                <m:t>t</m:t>
              </m:r>
              <m:r>
                <m:rPr>
                  <m:sty m:val="p"/>
                </m:rPr>
                <m:t>+</m:t>
              </m:r>
              <m:r>
                <m:t>k</m:t>
              </m:r>
            </m:e>
          </m:d>
          <m:r>
            <m:rPr>
              <m:sty m:val="p"/>
            </m:rPr>
            <m:t>≤</m:t>
          </m:r>
          <m:sSub>
            <m:e>
              <m:r>
                <m:t>P</m:t>
              </m:r>
            </m:e>
            <m:sub>
              <m:r>
                <m:rPr>
                  <m:sty m:val="p"/>
                </m:rPr>
                <m:t>max</m:t>
              </m:r>
            </m:sub>
          </m:sSub>
          <m:r>
            <m:rPr>
              <m:sty m:val="p"/>
            </m:rPr>
            <m:t>,</m:t>
          </m:r>
          <m:r>
            <m:t> </m:t>
          </m:r>
          <m:r>
            <m:rPr>
              <m:sty m:val="p"/>
            </m:rPr>
            <m:t>∀</m:t>
          </m:r>
          <m:r>
            <m:t>k</m:t>
          </m:r>
        </m:oMath>
      </m:oMathPara>
    </w:p>
    <w:p>
      <w:pPr>
        <w:pStyle w:val="FirstParagraph"/>
      </w:pPr>
      <w:r>
        <w:rPr>
          <w:iCs/>
          <w:i/>
        </w:rPr>
        <w:t xml:space="preserve">Restricciones de dominio</w:t>
      </w:r>
      <w:r>
        <w:t xml:space="preserve">:</w:t>
      </w:r>
    </w:p>
    <w:p>
      <w:pPr>
        <w:pStyle w:val="BodyText"/>
      </w:pPr>
      <m:oMathPara>
        <m:oMathParaPr>
          <m:jc m:val="center"/>
        </m:oMathParaPr>
        <m:oMath>
          <m:sSubSup>
            <m:e>
              <m:r>
                <m:t>x</m:t>
              </m:r>
            </m:e>
            <m:sub>
              <m:r>
                <m:t>s</m:t>
              </m:r>
            </m:sub>
            <m:sup>
              <m:d>
                <m:dPr>
                  <m:begChr m:val="("/>
                  <m:endChr m:val=")"/>
                  <m:sepChr m:val=""/>
                  <m:grow/>
                </m:dPr>
                <m:e>
                  <m:r>
                    <m:rPr>
                      <m:nor/>
                      <m:sty m:val="p"/>
                    </m:rPr>
                    <m:t>PRB</m:t>
                  </m:r>
                </m:e>
              </m:d>
            </m:sup>
          </m:sSubSup>
          <m:d>
            <m:dPr>
              <m:begChr m:val="("/>
              <m:endChr m:val=")"/>
              <m:sepChr m:val=""/>
              <m:grow/>
            </m:dPr>
            <m:e>
              <m:r>
                <m:t>t</m:t>
              </m:r>
              <m:r>
                <m:rPr>
                  <m:sty m:val="p"/>
                </m:rPr>
                <m:t>+</m:t>
              </m:r>
              <m:r>
                <m:t>k</m:t>
              </m:r>
            </m:e>
          </m:d>
          <m:r>
            <m:rPr>
              <m:sty m:val="p"/>
            </m:rPr>
            <m:t>∈</m:t>
          </m:r>
          <m:sSub>
            <m:e>
              <m:r>
                <m:rPr>
                  <m:sty m:val="p"/>
                  <m:scr m:val="double-struck"/>
                </m:rPr>
                <m:t>Z</m:t>
              </m:r>
            </m:e>
            <m:sub>
              <m:r>
                <m:rPr>
                  <m:sty m:val="p"/>
                </m:rPr>
                <m:t>≥</m:t>
              </m:r>
              <m:r>
                <m:t>0</m:t>
              </m:r>
            </m:sub>
          </m:sSub>
          <m:r>
            <m:rPr>
              <m:sty m:val="p"/>
            </m:rPr>
            <m:t>,</m:t>
          </m:r>
          <m:r>
            <m:t> </m:t>
          </m:r>
          <m:sSubSup>
            <m:e>
              <m:r>
                <m:t>x</m:t>
              </m:r>
            </m:e>
            <m:sub>
              <m:r>
                <m:t>s</m:t>
              </m:r>
            </m:sub>
            <m:sup>
              <m:d>
                <m:dPr>
                  <m:begChr m:val="("/>
                  <m:endChr m:val=")"/>
                  <m:sepChr m:val=""/>
                  <m:grow/>
                </m:dPr>
                <m:e>
                  <m:r>
                    <m:rPr>
                      <m:nor/>
                      <m:sty m:val="p"/>
                    </m:rPr>
                    <m:t>PRB</m:t>
                  </m:r>
                </m:e>
              </m:d>
            </m:sup>
          </m:sSubSup>
          <m:d>
            <m:dPr>
              <m:begChr m:val="("/>
              <m:endChr m:val=")"/>
              <m:sepChr m:val=""/>
              <m:grow/>
            </m:dPr>
            <m:e>
              <m:r>
                <m:t>t</m:t>
              </m:r>
              <m:r>
                <m:rPr>
                  <m:sty m:val="p"/>
                </m:rPr>
                <m:t>+</m:t>
              </m:r>
              <m:r>
                <m:t>k</m:t>
              </m:r>
            </m:e>
          </m:d>
          <m:r>
            <m:rPr>
              <m:sty m:val="p"/>
            </m:rPr>
            <m:t>≤</m:t>
          </m:r>
          <m:sSubSup>
            <m:e>
              <m:r>
                <m:t>N</m:t>
              </m:r>
            </m:e>
            <m:sub>
              <m:r>
                <m:rPr>
                  <m:nor/>
                  <m:sty m:val="p"/>
                </m:rPr>
                <m:t>PRB</m:t>
              </m:r>
            </m:sub>
            <m:sup>
              <m:d>
                <m:dPr>
                  <m:begChr m:val="("/>
                  <m:endChr m:val=")"/>
                  <m:sepChr m:val=""/>
                  <m:grow/>
                </m:dPr>
                <m:e>
                  <m:r>
                    <m:rPr>
                      <m:sty m:val="p"/>
                    </m:rPr>
                    <m:t>max</m:t>
                  </m:r>
                  <m:r>
                    <m:rPr>
                      <m:sty m:val="p"/>
                    </m:rPr>
                    <m:t>,</m:t>
                  </m:r>
                  <m:r>
                    <m:t>s</m:t>
                  </m:r>
                </m:e>
              </m:d>
            </m:sup>
          </m:sSubSup>
          <m:r>
            <m:rPr>
              <m:sty m:val="p"/>
            </m:rPr>
            <m:t>,</m:t>
          </m:r>
          <m:r>
            <m:t> </m:t>
          </m:r>
          <m:r>
            <m:rPr>
              <m:sty m:val="p"/>
            </m:rPr>
            <m:t>∀</m:t>
          </m:r>
          <m:r>
            <m:t>s</m:t>
          </m:r>
          <m:r>
            <m:rPr>
              <m:sty m:val="p"/>
            </m:rPr>
            <m:t>,</m:t>
          </m:r>
          <m:r>
            <m:t> </m:t>
          </m:r>
          <m:r>
            <m:t>k</m:t>
          </m:r>
        </m:oMath>
      </m:oMathPara>
    </w:p>
    <w:bookmarkEnd w:id="43"/>
    <w:bookmarkStart w:id="44" w:name="Xddea24d2a3ba31bec046f2274ade23097d03f0e"/>
    <w:p>
      <w:pPr>
        <w:pStyle w:val="Heading3"/>
      </w:pPr>
      <w:r>
        <w:t xml:space="preserve">C. Optimización Robusta Ante Incertidumbre de Predicción</w:t>
      </w:r>
    </w:p>
    <w:p>
      <w:pPr>
        <w:pStyle w:val="FirstParagraph"/>
      </w:pPr>
      <w:r>
        <w:t xml:space="preserve">Las predicciones</w:t>
      </w:r>
      <w:r>
        <w:t xml:space="preserve"> </w:t>
      </w:r>
      <m:oMath>
        <m:acc>
          <m:accPr>
            <m:chr m:val="̂"/>
          </m:accPr>
          <m:e>
            <m:r>
              <m:rPr>
                <m:sty m:val="b"/>
              </m:rPr>
              <m:t>d</m:t>
            </m:r>
          </m:e>
        </m:acc>
        <m:d>
          <m:dPr>
            <m:begChr m:val="("/>
            <m:endChr m:val=")"/>
            <m:sepChr m:val=""/>
            <m:grow/>
          </m:dPr>
          <m:e>
            <m:r>
              <m:t>t</m:t>
            </m:r>
            <m:r>
              <m:rPr>
                <m:sty m:val="p"/>
              </m:rPr>
              <m:t>+</m:t>
            </m:r>
            <m:r>
              <m:t>k</m:t>
            </m:r>
          </m:e>
        </m:d>
      </m:oMath>
      <w:r>
        <w:t xml:space="preserve"> </w:t>
      </w:r>
      <w:r>
        <w:t xml:space="preserve">contienen incertidumbre que crece con el horizonte</w:t>
      </w:r>
      <w:r>
        <w:t xml:space="preserve"> </w:t>
      </w:r>
      <m:oMath>
        <m:r>
          <m:t>k</m:t>
        </m:r>
      </m:oMath>
      <w:r>
        <w:t xml:space="preserve">. La optimización robusta [39] garantiza factibilidad para cualquier realización de demanda dentro de un conjunto de incertidumbre elipsoidal calibrado con la varianza de predicción del modelo LSTM:</w:t>
      </w:r>
    </w:p>
    <w:p>
      <w:pPr>
        <w:pStyle w:val="BodyText"/>
      </w:pPr>
      <m:oMathPara>
        <m:oMathParaPr>
          <m:jc m:val="center"/>
        </m:oMathParaPr>
        <m:oMath>
          <m:sSub>
            <m:e>
              <m:r>
                <m:rPr>
                  <m:sty m:val="p"/>
                  <m:scr m:val="script"/>
                </m:rPr>
                <m:t>U</m:t>
              </m:r>
            </m:e>
            <m:sub>
              <m:r>
                <m:t>k</m:t>
              </m:r>
            </m:sub>
          </m:sSub>
          <m:r>
            <m:rPr>
              <m:sty m:val="p"/>
            </m:rPr>
            <m:t>=</m:t>
          </m:r>
          <m:d>
            <m:dPr>
              <m:begChr m:val="{"/>
              <m:endChr m:val="}"/>
              <m:sepChr m:val=""/>
              <m:grow/>
            </m:dPr>
            <m:e>
              <m:r>
                <m:rPr>
                  <m:sty m:val="b"/>
                </m:rPr>
                <m:t>d</m:t>
              </m:r>
              <m:r>
                <m:rPr>
                  <m:sty m:val="p"/>
                </m:rPr>
                <m:t>:</m:t>
              </m:r>
              <m:sSup>
                <m:e>
                  <m:d>
                    <m:dPr>
                      <m:begChr m:val="("/>
                      <m:endChr m:val=")"/>
                      <m:sepChr m:val=""/>
                      <m:grow/>
                    </m:dPr>
                    <m:e>
                      <m:r>
                        <m:rPr>
                          <m:sty m:val="b"/>
                        </m:rPr>
                        <m:t>d</m:t>
                      </m:r>
                      <m:r>
                        <m:rPr>
                          <m:sty m:val="p"/>
                        </m:rPr>
                        <m:t>−</m:t>
                      </m:r>
                      <m:sSub>
                        <m:e>
                          <m:acc>
                            <m:accPr>
                              <m:chr m:val="̂"/>
                            </m:accPr>
                            <m:e>
                              <m:r>
                                <m:rPr>
                                  <m:sty m:val="b"/>
                                </m:rPr>
                                <m:t>d</m:t>
                              </m:r>
                            </m:e>
                          </m:acc>
                        </m:e>
                        <m:sub>
                          <m:r>
                            <m:t>k</m:t>
                          </m:r>
                        </m:sub>
                      </m:sSub>
                    </m:e>
                  </m:d>
                </m:e>
                <m:sup>
                  <m:r>
                    <m:t>T</m:t>
                  </m:r>
                </m:sup>
              </m:sSup>
              <m:sSubSup>
                <m:e>
                  <m:r>
                    <m:t>Σ</m:t>
                  </m:r>
                </m:e>
                <m:sub>
                  <m:r>
                    <m:t>k</m:t>
                  </m:r>
                </m:sub>
                <m:sup>
                  <m:r>
                    <m:rPr>
                      <m:sty m:val="p"/>
                    </m:rPr>
                    <m:t>−</m:t>
                  </m:r>
                  <m:r>
                    <m:t>1</m:t>
                  </m:r>
                </m:sup>
              </m:sSubSup>
              <m:d>
                <m:dPr>
                  <m:begChr m:val="("/>
                  <m:endChr m:val=")"/>
                  <m:sepChr m:val=""/>
                  <m:grow/>
                </m:dPr>
                <m:e>
                  <m:r>
                    <m:rPr>
                      <m:sty m:val="b"/>
                    </m:rPr>
                    <m:t>d</m:t>
                  </m:r>
                  <m:r>
                    <m:rPr>
                      <m:sty m:val="p"/>
                    </m:rPr>
                    <m:t>−</m:t>
                  </m:r>
                  <m:sSub>
                    <m:e>
                      <m:acc>
                        <m:accPr>
                          <m:chr m:val="̂"/>
                        </m:accPr>
                        <m:e>
                          <m:r>
                            <m:rPr>
                              <m:sty m:val="b"/>
                            </m:rPr>
                            <m:t>d</m:t>
                          </m:r>
                        </m:e>
                      </m:acc>
                    </m:e>
                    <m:sub>
                      <m:r>
                        <m:t>k</m:t>
                      </m:r>
                    </m:sub>
                  </m:sSub>
                </m:e>
              </m:d>
              <m:r>
                <m:rPr>
                  <m:sty m:val="p"/>
                </m:rPr>
                <m:t>≤</m:t>
              </m:r>
              <m:sSubSup>
                <m:e>
                  <m:r>
                    <m:t>χ</m:t>
                  </m:r>
                </m:e>
                <m:sub>
                  <m:r>
                    <m:t>S</m:t>
                  </m:r>
                </m:sub>
                <m:sup>
                  <m:r>
                    <m:t>2</m:t>
                  </m:r>
                </m:sup>
              </m:sSubSup>
              <m:d>
                <m:dPr>
                  <m:begChr m:val="("/>
                  <m:endChr m:val=")"/>
                  <m:sepChr m:val=""/>
                  <m:grow/>
                </m:dPr>
                <m:e>
                  <m:r>
                    <m:t>β</m:t>
                  </m:r>
                </m:e>
              </m:d>
            </m:e>
          </m:d>
        </m:oMath>
      </m:oMathPara>
    </w:p>
    <w:p>
      <w:pPr>
        <w:pStyle w:val="FirstParagraph"/>
      </w:pPr>
      <w:r>
        <w:t xml:space="preserve">donde</w:t>
      </w:r>
      <w:r>
        <w:t xml:space="preserve"> </w:t>
      </w:r>
      <m:oMath>
        <m:sSub>
          <m:e>
            <m:r>
              <m:t>Σ</m:t>
            </m:r>
          </m:e>
          <m:sub>
            <m:r>
              <m:t>k</m:t>
            </m:r>
          </m:sub>
        </m:sSub>
        <m:r>
          <m:rPr>
            <m:sty m:val="p"/>
          </m:rPr>
          <m:t>=</m:t>
        </m:r>
        <m:r>
          <m:rPr>
            <m:nor/>
            <m:sty m:val="p"/>
          </m:rPr>
          <m:t>diag</m:t>
        </m:r>
        <m:d>
          <m:dPr>
            <m:begChr m:val="("/>
            <m:endChr m:val=")"/>
            <m:sepChr m:val=""/>
            <m:grow/>
          </m:dPr>
          <m:e>
            <m:sSubSup>
              <m:e>
                <m:acc>
                  <m:accPr>
                    <m:chr m:val="̂"/>
                  </m:accPr>
                  <m:e>
                    <m:r>
                      <m:t>σ</m:t>
                    </m:r>
                  </m:e>
                </m:acc>
              </m:e>
              <m:sub>
                <m:r>
                  <m:t>1</m:t>
                </m:r>
                <m:r>
                  <m:rPr>
                    <m:sty m:val="p"/>
                  </m:rPr>
                  <m:t>,</m:t>
                </m:r>
                <m:r>
                  <m:t>k</m:t>
                </m:r>
              </m:sub>
              <m:sup>
                <m:r>
                  <m:t>2</m:t>
                </m:r>
              </m:sup>
            </m:sSubSup>
            <m:r>
              <m:rPr>
                <m:sty m:val="p"/>
              </m:rPr>
              <m:t>,</m:t>
            </m:r>
            <m:r>
              <m:rPr>
                <m:sty m:val="p"/>
              </m:rPr>
              <m:t>…</m:t>
            </m:r>
            <m:r>
              <m:rPr>
                <m:sty m:val="p"/>
              </m:rPr>
              <m:t>,</m:t>
            </m:r>
            <m:sSubSup>
              <m:e>
                <m:acc>
                  <m:accPr>
                    <m:chr m:val="̂"/>
                  </m:accPr>
                  <m:e>
                    <m:r>
                      <m:t>σ</m:t>
                    </m:r>
                  </m:e>
                </m:acc>
              </m:e>
              <m:sub>
                <m:r>
                  <m:t>S</m:t>
                </m:r>
                <m:r>
                  <m:rPr>
                    <m:sty m:val="p"/>
                  </m:rPr>
                  <m:t>,</m:t>
                </m:r>
                <m:r>
                  <m:t>k</m:t>
                </m:r>
              </m:sub>
              <m:sup>
                <m:r>
                  <m:t>2</m:t>
                </m:r>
              </m:sup>
            </m:sSubSup>
          </m:e>
        </m:d>
      </m:oMath>
      <w:r>
        <w:t xml:space="preserve"> </w:t>
      </w:r>
      <w:r>
        <w:t xml:space="preserve">es la matriz de covarianza de predicción estimada a partir de los residuales históricos del modelo LSTM en el conjunto de calibración, y</w:t>
      </w:r>
      <w:r>
        <w:t xml:space="preserve"> </w:t>
      </w:r>
      <m:oMath>
        <m:sSubSup>
          <m:e>
            <m:r>
              <m:t>χ</m:t>
            </m:r>
          </m:e>
          <m:sub>
            <m:r>
              <m:t>S</m:t>
            </m:r>
          </m:sub>
          <m:sup>
            <m:r>
              <m:t>2</m:t>
            </m:r>
          </m:sup>
        </m:sSubSup>
        <m:d>
          <m:dPr>
            <m:begChr m:val="("/>
            <m:endChr m:val=")"/>
            <m:sepChr m:val=""/>
            <m:grow/>
          </m:dPr>
          <m:e>
            <m:r>
              <m:t>β</m:t>
            </m:r>
          </m:e>
        </m:d>
      </m:oMath>
      <w:r>
        <w:t xml:space="preserve"> </w:t>
      </w:r>
      <w:r>
        <w:t xml:space="preserve">es el cuantil al nivel</w:t>
      </w:r>
      <w:r>
        <w:t xml:space="preserve"> </w:t>
      </w:r>
      <m:oMath>
        <m:r>
          <m:t>β</m:t>
        </m:r>
        <m:r>
          <m:rPr>
            <m:sty m:val="p"/>
          </m:rPr>
          <m:t>=</m:t>
        </m:r>
        <m:r>
          <m:t>0.95</m:t>
        </m:r>
      </m:oMath>
      <w:r>
        <w:t xml:space="preserve"> </w:t>
      </w:r>
      <w:r>
        <w:t xml:space="preserve">de la distribución chi-cuadrado con</w:t>
      </w:r>
      <w:r>
        <w:t xml:space="preserve"> </w:t>
      </w:r>
      <m:oMath>
        <m:r>
          <m:t>S</m:t>
        </m:r>
      </m:oMath>
      <w:r>
        <w:t xml:space="preserve"> </w:t>
      </w:r>
      <w:r>
        <w:t xml:space="preserve">grados de libertad.</w:t>
      </w:r>
    </w:p>
    <w:p>
      <w:pPr>
        <w:pStyle w:val="BodyText"/>
      </w:pPr>
      <w:r>
        <w:t xml:space="preserve">Robustificando la restricción de capacidad (33) ante el peor caso dentro de</w:t>
      </w:r>
      <w:r>
        <w:t xml:space="preserve"> </w:t>
      </w:r>
      <m:oMath>
        <m:sSub>
          <m:e>
            <m:r>
              <m:rPr>
                <m:sty m:val="p"/>
                <m:scr m:val="script"/>
              </m:rPr>
              <m:t>U</m:t>
            </m:r>
          </m:e>
          <m:sub>
            <m:r>
              <m:t>k</m:t>
            </m:r>
          </m:sub>
        </m:sSub>
      </m:oMath>
      <w:r>
        <w:t xml:space="preserve">:</w:t>
      </w:r>
    </w:p>
    <w:p>
      <w:pPr>
        <w:pStyle w:val="BodyText"/>
      </w:pPr>
      <m:oMathPara>
        <m:oMathParaPr>
          <m:jc m:val="center"/>
        </m:oMathParaPr>
        <m:oMath>
          <m:nary>
            <m:naryPr>
              <m:chr m:val="∑"/>
              <m:limLoc m:val="undOvr"/>
              <m:subHide m:val="0"/>
              <m:supHide m:val="1"/>
            </m:naryPr>
            <m:sub>
              <m:r>
                <m:t>s</m:t>
              </m:r>
            </m:sub>
            <m:sup>
              <m:r>
                <m:t>​</m:t>
              </m:r>
            </m:sup>
            <m:e>
              <m:sSubSup>
                <m:e>
                  <m:r>
                    <m:t>x</m:t>
                  </m:r>
                </m:e>
                <m:sub>
                  <m:r>
                    <m:t>s</m:t>
                  </m:r>
                </m:sub>
                <m:sup>
                  <m:d>
                    <m:dPr>
                      <m:begChr m:val="("/>
                      <m:endChr m:val=")"/>
                      <m:sepChr m:val=""/>
                      <m:grow/>
                    </m:dPr>
                    <m:e>
                      <m:r>
                        <m:rPr>
                          <m:nor/>
                          <m:sty m:val="p"/>
                        </m:rPr>
                        <m:t>PRB</m:t>
                      </m:r>
                    </m:e>
                  </m:d>
                </m:sup>
              </m:sSubSup>
            </m:e>
          </m:nary>
          <m:r>
            <m:rPr>
              <m:sty m:val="p"/>
            </m:rPr>
            <m:t>≥</m:t>
          </m:r>
          <m:nary>
            <m:naryPr>
              <m:chr m:val="∑"/>
              <m:limLoc m:val="undOvr"/>
              <m:subHide m:val="0"/>
              <m:supHide m:val="1"/>
            </m:naryPr>
            <m:sub>
              <m:r>
                <m:t>s</m:t>
              </m:r>
            </m:sub>
            <m:sup>
              <m:r>
                <m:t>​</m:t>
              </m:r>
            </m:sup>
            <m:e>
              <m:f>
                <m:fPr>
                  <m:type m:val="bar"/>
                </m:fPr>
                <m:num>
                  <m:sSub>
                    <m:e>
                      <m:acc>
                        <m:accPr>
                          <m:chr m:val="̂"/>
                        </m:accPr>
                        <m:e>
                          <m:r>
                            <m:t>d</m:t>
                          </m:r>
                        </m:e>
                      </m:acc>
                    </m:e>
                    <m:sub>
                      <m:r>
                        <m:t>s</m:t>
                      </m:r>
                      <m:r>
                        <m:rPr>
                          <m:sty m:val="p"/>
                        </m:rPr>
                        <m:t>,</m:t>
                      </m:r>
                      <m:r>
                        <m:t>k</m:t>
                      </m:r>
                    </m:sub>
                  </m:sSub>
                </m:num>
                <m:den>
                  <m:sSubSup>
                    <m:e>
                      <m:r>
                        <m:t>r</m:t>
                      </m:r>
                    </m:e>
                    <m:sub>
                      <m:r>
                        <m:t>s</m:t>
                      </m:r>
                    </m:sub>
                    <m:sup>
                      <m:r>
                        <m:rPr>
                          <m:sty m:val="p"/>
                        </m:rPr>
                        <m:t>max</m:t>
                      </m:r>
                    </m:sup>
                  </m:sSubSup>
                </m:den>
              </m:f>
            </m:e>
          </m:nary>
          <m:r>
            <m:rPr>
              <m:sty m:val="p"/>
            </m:rPr>
            <m:t>+</m:t>
          </m:r>
          <m:rad>
            <m:radPr>
              <m:degHide m:val="1"/>
            </m:radPr>
            <m:deg/>
            <m:e>
              <m:sSubSup>
                <m:e>
                  <m:r>
                    <m:t>χ</m:t>
                  </m:r>
                </m:e>
                <m:sub>
                  <m:r>
                    <m:t>S</m:t>
                  </m:r>
                </m:sub>
                <m:sup>
                  <m:r>
                    <m:t>2</m:t>
                  </m:r>
                </m:sup>
              </m:sSubSup>
              <m:d>
                <m:dPr>
                  <m:begChr m:val="("/>
                  <m:endChr m:val=")"/>
                  <m:sepChr m:val=""/>
                  <m:grow/>
                </m:dPr>
                <m:e>
                  <m:r>
                    <m:t>β</m:t>
                  </m:r>
                </m:e>
              </m:d>
            </m:e>
          </m:rad>
          <m:sSub>
            <m:e>
              <m:d>
                <m:dPr>
                  <m:begChr m:val="∥"/>
                  <m:endChr m:val="∥"/>
                  <m:sepChr m:val=""/>
                  <m:grow/>
                </m:dPr>
                <m:e>
                  <m:sSubSup>
                    <m:e>
                      <m:r>
                        <m:t>Σ</m:t>
                      </m:r>
                    </m:e>
                    <m:sub>
                      <m:r>
                        <m:t>k</m:t>
                      </m:r>
                    </m:sub>
                    <m:sup>
                      <m:r>
                        <m:t>1</m:t>
                      </m:r>
                      <m:r>
                        <m:rPr>
                          <m:sty m:val="p"/>
                        </m:rPr>
                        <m:t>/</m:t>
                      </m:r>
                      <m:r>
                        <m:t>2</m:t>
                      </m:r>
                    </m:sup>
                  </m:sSubSup>
                  <m:sSup>
                    <m:e>
                      <m:d>
                        <m:dPr>
                          <m:begChr m:val="("/>
                          <m:endChr m:val=")"/>
                          <m:sepChr m:val=""/>
                          <m:grow/>
                        </m:dPr>
                        <m:e>
                          <m:sSup>
                            <m:e>
                              <m:r>
                                <m:t>r</m:t>
                              </m:r>
                            </m:e>
                            <m:sup>
                              <m:r>
                                <m:rPr>
                                  <m:sty m:val="p"/>
                                </m:rPr>
                                <m:t>max</m:t>
                              </m:r>
                            </m:sup>
                          </m:sSup>
                        </m:e>
                      </m:d>
                    </m:e>
                    <m:sup>
                      <m:r>
                        <m:rPr>
                          <m:sty m:val="p"/>
                        </m:rPr>
                        <m:t>−</m:t>
                      </m:r>
                      <m:r>
                        <m:t>1</m:t>
                      </m:r>
                    </m:sup>
                  </m:sSup>
                </m:e>
              </m:d>
            </m:e>
            <m:sub>
              <m:r>
                <m:t>2</m:t>
              </m:r>
            </m:sub>
          </m:sSub>
        </m:oMath>
      </m:oMathPara>
    </w:p>
    <w:p>
      <w:pPr>
        <w:pStyle w:val="FirstParagraph"/>
      </w:pPr>
      <w:r>
        <w:t xml:space="preserve">El segundo término es el</w:t>
      </w:r>
      <w:r>
        <w:t xml:space="preserve"> </w:t>
      </w:r>
      <w:r>
        <w:rPr>
          <w:bCs/>
          <w:b/>
        </w:rPr>
        <w:t xml:space="preserve">margen de seguridad adaptativo</w:t>
      </w:r>
      <w:r>
        <w:t xml:space="preserve"> </w:t>
      </w:r>
      <w:r>
        <w:t xml:space="preserve">que: (a) aumenta con la incertidumbre de predicción</w:t>
      </w:r>
      <w:r>
        <w:t xml:space="preserve"> </w:t>
      </w:r>
      <m:oMath>
        <m:sSub>
          <m:e>
            <m:r>
              <m:t>Σ</m:t>
            </m:r>
          </m:e>
          <m:sub>
            <m:r>
              <m:t>k</m:t>
            </m:r>
          </m:sub>
        </m:sSub>
      </m:oMath>
      <w:r>
        <w:t xml:space="preserve"> </w:t>
      </w:r>
      <w:r>
        <w:t xml:space="preserve">(mayor para horizontes lejanos), (b) decrece con la precisión del modelo (mejor modelo → menor margen necesario), y (c) se calibra automáticamente mediante los residuales del LSTM sin necesidad de ajuste manual.</w:t>
      </w:r>
    </w:p>
    <w:bookmarkEnd w:id="44"/>
    <w:bookmarkStart w:id="45" w:name="d-optimización-estocástica"/>
    <w:p>
      <w:pPr>
        <w:pStyle w:val="Heading3"/>
      </w:pPr>
      <w:r>
        <w:t xml:space="preserve">D. Optimización Estocástica</w:t>
      </w:r>
    </w:p>
    <w:p>
      <w:pPr>
        <w:pStyle w:val="FirstParagraph"/>
      </w:pPr>
      <w:r>
        <w:t xml:space="preserve">Como alternativa complementaria, la optimización estocástica de dos etapas [40] minimiza el valor esperado del costo sobre</w:t>
      </w:r>
      <w:r>
        <w:t xml:space="preserve"> </w:t>
      </w:r>
      <m:oMath>
        <m:r>
          <m:t>M</m:t>
        </m:r>
        <m:r>
          <m:rPr>
            <m:sty m:val="p"/>
          </m:rPr>
          <m:t>=</m:t>
        </m:r>
        <m:r>
          <m:t>50</m:t>
        </m:r>
      </m:oMath>
      <w:r>
        <w:t xml:space="preserve"> </w:t>
      </w:r>
      <w:r>
        <w:t xml:space="preserve">escenarios muestreados de la distribución de demanda:</w:t>
      </w:r>
    </w:p>
    <w:p>
      <w:pPr>
        <w:pStyle w:val="BodyText"/>
      </w:pPr>
      <m:oMathPara>
        <m:oMathParaPr>
          <m:jc m:val="center"/>
        </m:oMathParaPr>
        <m:oMath>
          <m:limLow>
            <m:e>
              <m:r>
                <m:rPr>
                  <m:sty m:val="p"/>
                </m:rPr>
                <m:t>min</m:t>
              </m:r>
            </m:e>
            <m:lim>
              <m:r>
                <m:rPr>
                  <m:sty m:val="b"/>
                </m:rPr>
                <m:t>x</m:t>
              </m:r>
            </m:lim>
          </m:limLow>
          <m:r>
            <m:t> </m:t>
          </m:r>
          <m:f>
            <m:fPr>
              <m:type m:val="bar"/>
            </m:fPr>
            <m:num>
              <m:r>
                <m:t>1</m:t>
              </m:r>
            </m:num>
            <m:den>
              <m:r>
                <m:t>M</m:t>
              </m:r>
            </m:den>
          </m:f>
          <m:nary>
            <m:naryPr>
              <m:chr m:val="∑"/>
              <m:limLoc m:val="undOvr"/>
              <m:subHide m:val="0"/>
              <m:supHide m:val="0"/>
            </m:naryPr>
            <m:sub>
              <m:r>
                <m:t>m</m:t>
              </m:r>
              <m:r>
                <m:rPr>
                  <m:sty m:val="p"/>
                </m:rPr>
                <m:t>=</m:t>
              </m:r>
              <m:r>
                <m:t>1</m:t>
              </m:r>
            </m:sub>
            <m:sup>
              <m:r>
                <m:t>M</m:t>
              </m:r>
            </m:sup>
            <m:e>
              <m:r>
                <m:t>Q</m:t>
              </m:r>
            </m:e>
          </m:nary>
          <m:d>
            <m:dPr>
              <m:begChr m:val="("/>
              <m:endChr m:val=")"/>
              <m:sepChr m:val=""/>
              <m:grow/>
            </m:dPr>
            <m:e>
              <m:r>
                <m:rPr>
                  <m:sty m:val="b"/>
                </m:rPr>
                <m:t>x</m:t>
              </m:r>
              <m:r>
                <m:rPr>
                  <m:sty m:val="p"/>
                </m:rPr>
                <m:t>,</m:t>
              </m:r>
              <m:sSup>
                <m:e>
                  <m:r>
                    <m:rPr>
                      <m:sty m:val="b"/>
                    </m:rPr>
                    <m:t>ξ</m:t>
                  </m:r>
                </m:e>
                <m:sup>
                  <m:d>
                    <m:dPr>
                      <m:begChr m:val="("/>
                      <m:endChr m:val=")"/>
                      <m:sepChr m:val=""/>
                      <m:grow/>
                    </m:dPr>
                    <m:e>
                      <m:r>
                        <m:t>m</m:t>
                      </m:r>
                    </m:e>
                  </m:d>
                </m:sup>
              </m:sSup>
            </m:e>
          </m:d>
          <m:r>
            <m:rPr>
              <m:sty m:val="p"/>
            </m:rPr>
            <m:t>+</m:t>
          </m:r>
          <m:r>
            <m:t>λ</m:t>
          </m:r>
          <m:r>
            <m:rPr>
              <m:sty m:val="p"/>
            </m:rPr>
            <m:t>⋅</m:t>
          </m:r>
          <m:sSub>
            <m:e>
              <m:r>
                <m:rPr>
                  <m:nor/>
                  <m:sty m:val="p"/>
                </m:rPr>
                <m:t>CVaR</m:t>
              </m:r>
            </m:e>
            <m:sub>
              <m:r>
                <m:t>β</m:t>
              </m:r>
            </m:sub>
          </m:sSub>
          <m:r>
            <m:t>​</m:t>
          </m:r>
          <m:d>
            <m:dPr>
              <m:begChr m:val="["/>
              <m:endChr m:val="]"/>
              <m:sepChr m:val=""/>
              <m:grow/>
            </m:dPr>
            <m:e>
              <m:r>
                <m:t>Q</m:t>
              </m:r>
              <m:d>
                <m:dPr>
                  <m:begChr m:val="("/>
                  <m:endChr m:val=")"/>
                  <m:sepChr m:val=""/>
                  <m:grow/>
                </m:dPr>
                <m:e>
                  <m:r>
                    <m:rPr>
                      <m:sty m:val="b"/>
                    </m:rPr>
                    <m:t>x</m:t>
                  </m:r>
                  <m:r>
                    <m:rPr>
                      <m:sty m:val="p"/>
                    </m:rPr>
                    <m:t>,</m:t>
                  </m:r>
                  <m:r>
                    <m:rPr>
                      <m:sty m:val="b"/>
                    </m:rPr>
                    <m:t>ξ</m:t>
                  </m:r>
                </m:e>
              </m:d>
            </m:e>
          </m:d>
        </m:oMath>
      </m:oMathPara>
    </w:p>
    <w:p>
      <w:pPr>
        <w:pStyle w:val="FirstParagraph"/>
      </w:pPr>
      <w:r>
        <w:t xml:space="preserve">donde</w:t>
      </w:r>
      <w:r>
        <w:t xml:space="preserve"> </w:t>
      </w:r>
      <m:oMath>
        <m:sSup>
          <m:e>
            <m:r>
              <m:rPr>
                <m:sty m:val="b"/>
              </m:rPr>
              <m:t>ξ</m:t>
            </m:r>
          </m:e>
          <m:sup>
            <m:d>
              <m:dPr>
                <m:begChr m:val="("/>
                <m:endChr m:val=")"/>
                <m:sepChr m:val=""/>
                <m:grow/>
              </m:dPr>
              <m:e>
                <m:r>
                  <m:t>m</m:t>
                </m:r>
              </m:e>
            </m:d>
          </m:sup>
        </m:sSup>
        <m:r>
          <m:rPr>
            <m:sty m:val="p"/>
          </m:rPr>
          <m:t>∼</m:t>
        </m:r>
        <m:r>
          <m:rPr>
            <m:sty m:val="p"/>
            <m:scr m:val="script"/>
          </m:rPr>
          <m:t>N</m:t>
        </m:r>
        <m:d>
          <m:dPr>
            <m:begChr m:val="("/>
            <m:endChr m:val=")"/>
            <m:sepChr m:val=""/>
            <m:grow/>
          </m:dPr>
          <m:e>
            <m:sSub>
              <m:e>
                <m:acc>
                  <m:accPr>
                    <m:chr m:val="̂"/>
                  </m:accPr>
                  <m:e>
                    <m:r>
                      <m:rPr>
                        <m:sty m:val="b"/>
                      </m:rPr>
                      <m:t>d</m:t>
                    </m:r>
                  </m:e>
                </m:acc>
              </m:e>
              <m:sub>
                <m:r>
                  <m:t>k</m:t>
                </m:r>
              </m:sub>
            </m:sSub>
            <m:r>
              <m:rPr>
                <m:sty m:val="p"/>
              </m:rPr>
              <m:t>,</m:t>
            </m:r>
            <m:sSub>
              <m:e>
                <m:r>
                  <m:t>Σ</m:t>
                </m:r>
              </m:e>
              <m:sub>
                <m:r>
                  <m:t>k</m:t>
                </m:r>
              </m:sub>
            </m:sSub>
          </m:e>
        </m:d>
      </m:oMath>
      <w:r>
        <w:t xml:space="preserve"> </w:t>
      </w:r>
      <w:r>
        <w:t xml:space="preserve">son escenarios muestreados,</w:t>
      </w:r>
      <w:r>
        <w:t xml:space="preserve"> </w:t>
      </w:r>
      <m:oMath>
        <m:r>
          <m:t>Q</m:t>
        </m:r>
        <m:d>
          <m:dPr>
            <m:begChr m:val="("/>
            <m:endChr m:val=")"/>
            <m:sepChr m:val=""/>
            <m:grow/>
          </m:dPr>
          <m:e>
            <m:r>
              <m:rPr>
                <m:sty m:val="b"/>
              </m:rPr>
              <m:t>x</m:t>
            </m:r>
            <m:r>
              <m:rPr>
                <m:sty m:val="p"/>
              </m:rPr>
              <m:t>,</m:t>
            </m:r>
            <m:r>
              <m:rPr>
                <m:sty m:val="b"/>
              </m:rPr>
              <m:t>ξ</m:t>
            </m:r>
          </m:e>
        </m:d>
      </m:oMath>
      <w:r>
        <w:t xml:space="preserve"> </w:t>
      </w:r>
      <w:r>
        <w:t xml:space="preserve">es el costo de segundo etapa (penalizaciones por bloqueo e incumplimiento de SLA),</w:t>
      </w:r>
      <w:r>
        <w:t xml:space="preserve"> </w:t>
      </w:r>
      <m:oMath>
        <m:sSub>
          <m:e>
            <m:r>
              <m:rPr>
                <m:nor/>
                <m:sty m:val="p"/>
              </m:rPr>
              <m:t>CVaR</m:t>
            </m:r>
          </m:e>
          <m:sub>
            <m:r>
              <m:t>β</m:t>
            </m:r>
          </m:sub>
        </m:sSub>
      </m:oMath>
      <w:r>
        <w:t xml:space="preserve"> </w:t>
      </w:r>
      <w:r>
        <w:t xml:space="preserve">es el</w:t>
      </w:r>
      <w:r>
        <w:t xml:space="preserve"> </w:t>
      </w:r>
      <w:r>
        <w:rPr>
          <w:iCs/>
          <w:i/>
        </w:rPr>
        <w:t xml:space="preserve">Conditional Value at Risk</w:t>
      </w:r>
      <w:r>
        <w:t xml:space="preserve"> </w:t>
      </w:r>
      <w:r>
        <w:t xml:space="preserve">al nivel</w:t>
      </w:r>
      <w:r>
        <w:t xml:space="preserve"> </w:t>
      </w:r>
      <m:oMath>
        <m:r>
          <m:t>β</m:t>
        </m:r>
        <m:r>
          <m:rPr>
            <m:sty m:val="p"/>
          </m:rPr>
          <m:t>=</m:t>
        </m:r>
        <m:r>
          <m:t>0.95</m:t>
        </m:r>
      </m:oMath>
      <w:r>
        <w:t xml:space="preserve"> </w:t>
      </w:r>
      <w:r>
        <w:t xml:space="preserve">que controla el riesgo de escenarios adversos, y</w:t>
      </w:r>
      <w:r>
        <w:t xml:space="preserve"> </w:t>
      </w:r>
      <m:oMath>
        <m:r>
          <m:t>λ</m:t>
        </m:r>
      </m:oMath>
      <w:r>
        <w:t xml:space="preserve"> </w:t>
      </w:r>
      <w:r>
        <w:t xml:space="preserve">es el factor de aversión al riesgo (típicamente</w:t>
      </w:r>
      <w:r>
        <w:t xml:space="preserve"> </w:t>
      </w:r>
      <m:oMath>
        <m:r>
          <m:t>λ</m:t>
        </m:r>
        <m:r>
          <m:rPr>
            <m:sty m:val="p"/>
          </m:rPr>
          <m:t>=</m:t>
        </m:r>
        <m:r>
          <m:t>0.3</m:t>
        </m:r>
      </m:oMath>
      <w:r>
        <w:t xml:space="preserve">).</w:t>
      </w:r>
    </w:p>
    <w:bookmarkEnd w:id="45"/>
    <w:bookmarkStart w:id="46" w:name="e-algoritmo-de-pre-activación-de-celdas"/>
    <w:p>
      <w:pPr>
        <w:pStyle w:val="Heading3"/>
      </w:pPr>
      <w:r>
        <w:t xml:space="preserve">E. Algoritmo de Pre-Activación de Celdas</w:t>
      </w:r>
    </w:p>
    <w:p>
      <w:pPr>
        <w:pStyle w:val="FirstParagraph"/>
      </w:pPr>
      <w:r>
        <w:t xml:space="preserve">Basándose en las predicciones del LSTM, el sistema decide proactivamente qué celdas en modo sleep deben activarse antes del incremento de demanda pronosticado. La condición de pre-activación para la celda</w:t>
      </w:r>
      <w:r>
        <w:t xml:space="preserve"> </w:t>
      </w:r>
      <m:oMath>
        <m:r>
          <m:t>c</m:t>
        </m:r>
      </m:oMath>
      <w:r>
        <w:t xml:space="preserve"> </w:t>
      </w:r>
      <w:r>
        <w:t xml:space="preserve">es:</w:t>
      </w:r>
    </w:p>
    <w:p>
      <w:pPr>
        <w:pStyle w:val="BodyText"/>
      </w:pPr>
      <m:oMathPara>
        <m:oMathParaPr>
          <m:jc m:val="center"/>
        </m:oMathParaPr>
        <m:oMath>
          <m:sSub>
            <m:e>
              <m:acc>
                <m:accPr>
                  <m:chr m:val="̂"/>
                </m:accPr>
                <m:e>
                  <m:r>
                    <m:t>X</m:t>
                  </m:r>
                </m:e>
              </m:acc>
            </m:e>
            <m:sub>
              <m:r>
                <m:t>c</m:t>
              </m:r>
            </m:sub>
          </m:sSub>
          <m:d>
            <m:dPr>
              <m:begChr m:val="("/>
              <m:endChr m:val=")"/>
              <m:sepChr m:val=""/>
              <m:grow/>
            </m:dPr>
            <m:e>
              <m:r>
                <m:t>t</m:t>
              </m:r>
              <m:r>
                <m:rPr>
                  <m:sty m:val="p"/>
                </m:rPr>
                <m:t>+</m:t>
              </m:r>
              <m:r>
                <m:t>k</m:t>
              </m:r>
            </m:e>
          </m:d>
          <m:r>
            <m:rPr>
              <m:sty m:val="p"/>
            </m:rPr>
            <m:t>&gt;</m:t>
          </m:r>
          <m:sSubSup>
            <m:e>
              <m:r>
                <m:t>μ</m:t>
              </m:r>
            </m:e>
            <m:sub>
              <m:r>
                <m:t>c</m:t>
              </m:r>
            </m:sub>
            <m:sup>
              <m:d>
                <m:dPr>
                  <m:begChr m:val="("/>
                  <m:endChr m:val=")"/>
                  <m:sepChr m:val=""/>
                  <m:grow/>
                </m:dPr>
                <m:e>
                  <m:r>
                    <m:rPr>
                      <m:nor/>
                      <m:sty m:val="p"/>
                    </m:rPr>
                    <m:t>active</m:t>
                  </m:r>
                </m:e>
              </m:d>
            </m:sup>
          </m:sSubSup>
          <m:r>
            <m:rPr>
              <m:sty m:val="p"/>
            </m:rPr>
            <m:t>+</m:t>
          </m:r>
          <m:r>
            <m:t>κ</m:t>
          </m:r>
          <m:r>
            <m:t> </m:t>
          </m:r>
          <m:sSub>
            <m:e>
              <m:r>
                <m:t>σ</m:t>
              </m:r>
            </m:e>
            <m:sub>
              <m:r>
                <m:t>c</m:t>
              </m:r>
            </m:sub>
          </m:sSub>
          <m:r>
            <m:rPr>
              <m:sty m:val="p"/>
            </m:rPr>
            <m:t>,</m:t>
          </m:r>
          <m:r>
            <m:t> </m:t>
          </m:r>
          <m:r>
            <m:rPr>
              <m:sty m:val="p"/>
            </m:rPr>
            <m:t>∃</m:t>
          </m:r>
          <m:r>
            <m:t> </m:t>
          </m:r>
          <m:r>
            <m:t>k</m:t>
          </m:r>
          <m:r>
            <m:rPr>
              <m:sty m:val="p"/>
            </m:rPr>
            <m:t>≤</m:t>
          </m:r>
          <m:sSub>
            <m:e>
              <m:r>
                <m:t>k</m:t>
              </m:r>
            </m:e>
            <m:sub>
              <m:r>
                <m:rPr>
                  <m:nor/>
                  <m:sty m:val="p"/>
                </m:rPr>
                <m:t>wakeup</m:t>
              </m:r>
            </m:sub>
          </m:sSub>
        </m:oMath>
      </m:oMathPara>
    </w:p>
    <w:p>
      <w:pPr>
        <w:pStyle w:val="FirstParagraph"/>
      </w:pPr>
      <w:r>
        <w:t xml:space="preserve">donde</w:t>
      </w:r>
      <w:r>
        <w:t xml:space="preserve"> </w:t>
      </w:r>
      <m:oMath>
        <m:sSubSup>
          <m:e>
            <m:r>
              <m:t>μ</m:t>
            </m:r>
          </m:e>
          <m:sub>
            <m:r>
              <m:t>c</m:t>
            </m:r>
          </m:sub>
          <m:sup>
            <m:d>
              <m:dPr>
                <m:begChr m:val="("/>
                <m:endChr m:val=")"/>
                <m:sepChr m:val=""/>
                <m:grow/>
              </m:dPr>
              <m:e>
                <m:r>
                  <m:rPr>
                    <m:nor/>
                    <m:sty m:val="p"/>
                  </m:rPr>
                  <m:t>active</m:t>
                </m:r>
              </m:e>
            </m:d>
          </m:sup>
        </m:sSubSup>
      </m:oMath>
      <w:r>
        <w:t xml:space="preserve"> </w:t>
      </w:r>
      <w:r>
        <w:t xml:space="preserve">es el umbral de activación de la celda</w:t>
      </w:r>
      <w:r>
        <w:t xml:space="preserve"> </w:t>
      </w:r>
      <m:oMath>
        <m:r>
          <m:t>c</m:t>
        </m:r>
      </m:oMath>
      <w:r>
        <w:t xml:space="preserve"> </w:t>
      </w:r>
      <w:r>
        <w:t xml:space="preserve">(calibrado históricamente),</w:t>
      </w:r>
      <w:r>
        <w:t xml:space="preserve"> </w:t>
      </w:r>
      <m:oMath>
        <m:r>
          <m:t>κ</m:t>
        </m:r>
        <m:r>
          <m:rPr>
            <m:sty m:val="p"/>
          </m:rPr>
          <m:t>=</m:t>
        </m:r>
        <m:r>
          <m:t>1.5</m:t>
        </m:r>
      </m:oMath>
      <w:r>
        <w:t xml:space="preserve">–</w:t>
      </w:r>
      <m:oMath>
        <m:r>
          <m:t>2.0</m:t>
        </m:r>
      </m:oMath>
      <w:r>
        <w:t xml:space="preserve"> </w:t>
      </w:r>
      <w:r>
        <w:t xml:space="preserve">es el factor de seguridad, y</w:t>
      </w:r>
      <w:r>
        <w:t xml:space="preserve"> </w:t>
      </w:r>
      <m:oMath>
        <m:sSub>
          <m:e>
            <m:r>
              <m:t>k</m:t>
            </m:r>
          </m:e>
          <m:sub>
            <m:r>
              <m:rPr>
                <m:nor/>
                <m:sty m:val="p"/>
              </m:rPr>
              <m:t>wakeup</m:t>
            </m:r>
          </m:sub>
        </m:sSub>
        <m:r>
          <m:rPr>
            <m:sty m:val="p"/>
          </m:rPr>
          <m:t>=</m:t>
        </m:r>
        <m:r>
          <m:t>2</m:t>
        </m:r>
      </m:oMath>
      <w:r>
        <w:t xml:space="preserve">–</w:t>
      </w:r>
      <m:oMath>
        <m:r>
          <m:t>4</m:t>
        </m:r>
      </m:oMath>
      <w:r>
        <w:t xml:space="preserve"> </w:t>
      </w:r>
      <w:r>
        <w:t xml:space="preserve">pasos (30–60 min) es el tiempo necesario para la activación completa de la celda (incluyendo enlace de backhaul y sincronización).</w:t>
      </w:r>
    </w:p>
    <w:bookmarkEnd w:id="46"/>
    <w:bookmarkStart w:id="47" w:name="f-adaptación-dinámica-de-slices"/>
    <w:p>
      <w:pPr>
        <w:pStyle w:val="Heading3"/>
      </w:pPr>
      <w:r>
        <w:t xml:space="preserve">F. Adaptación Dinámica de Slices</w:t>
      </w:r>
    </w:p>
    <w:p>
      <w:pPr>
        <w:pStyle w:val="FirstParagraph"/>
      </w:pPr>
      <w:r>
        <w:t xml:space="preserve">La regla de adaptación proactiva de slices ajusta los recursos asignados en función del incremento predicho de demanda y el exceso actual de asignación:</w:t>
      </w:r>
    </w:p>
    <w:p>
      <w:pPr>
        <w:pStyle w:val="BodyText"/>
      </w:pPr>
      <m:oMathPara>
        <m:oMathParaPr>
          <m:jc m:val="center"/>
        </m:oMathParaPr>
        <m:oMath>
          <m:r>
            <m:t>Δ</m:t>
          </m:r>
          <m:sSub>
            <m:e>
              <m:r>
                <m:t>R</m:t>
              </m:r>
            </m:e>
            <m:sub>
              <m:r>
                <m:t>s</m:t>
              </m:r>
            </m:sub>
          </m:sSub>
          <m:d>
            <m:dPr>
              <m:begChr m:val="("/>
              <m:endChr m:val=")"/>
              <m:sepChr m:val=""/>
              <m:grow/>
            </m:dPr>
            <m:e>
              <m:r>
                <m:t>t</m:t>
              </m:r>
            </m:e>
          </m:d>
          <m:r>
            <m:rPr>
              <m:sty m:val="p"/>
            </m:rPr>
            <m:t>=</m:t>
          </m:r>
          <m:r>
            <m:t>ρ</m:t>
          </m:r>
          <m:r>
            <m:t>​</m:t>
          </m:r>
          <m:sSup>
            <m:e>
              <m:d>
                <m:dPr>
                  <m:begChr m:val="["/>
                  <m:endChr m:val="]"/>
                  <m:sepChr m:val=""/>
                  <m:grow/>
                </m:dPr>
                <m:e>
                  <m:sSub>
                    <m:e>
                      <m:acc>
                        <m:accPr>
                          <m:chr m:val="̂"/>
                        </m:accPr>
                        <m:e>
                          <m:r>
                            <m:t>d</m:t>
                          </m:r>
                        </m:e>
                      </m:acc>
                    </m:e>
                    <m:sub>
                      <m:r>
                        <m:t>s</m:t>
                      </m:r>
                    </m:sub>
                  </m:sSub>
                  <m:d>
                    <m:dPr>
                      <m:begChr m:val="("/>
                      <m:endChr m:val=")"/>
                      <m:sepChr m:val=""/>
                      <m:grow/>
                    </m:dPr>
                    <m:e>
                      <m:r>
                        <m:t>t</m:t>
                      </m:r>
                      <m:r>
                        <m:rPr>
                          <m:sty m:val="p"/>
                        </m:rPr>
                        <m:t>+</m:t>
                      </m:r>
                      <m:r>
                        <m:t>1</m:t>
                      </m:r>
                    </m:e>
                  </m:d>
                  <m:r>
                    <m:rPr>
                      <m:sty m:val="p"/>
                    </m:rPr>
                    <m:t>−</m:t>
                  </m:r>
                  <m:sSub>
                    <m:e>
                      <m:acc>
                        <m:accPr>
                          <m:chr m:val="̂"/>
                        </m:accPr>
                        <m:e>
                          <m:r>
                            <m:t>d</m:t>
                          </m:r>
                        </m:e>
                      </m:acc>
                    </m:e>
                    <m:sub>
                      <m:r>
                        <m:t>s</m:t>
                      </m:r>
                    </m:sub>
                  </m:sSub>
                  <m:d>
                    <m:dPr>
                      <m:begChr m:val="("/>
                      <m:endChr m:val=")"/>
                      <m:sepChr m:val=""/>
                      <m:grow/>
                    </m:dPr>
                    <m:e>
                      <m:r>
                        <m:t>t</m:t>
                      </m:r>
                    </m:e>
                  </m:d>
                </m:e>
              </m:d>
            </m:e>
            <m:sup>
              <m:r>
                <m:rPr>
                  <m:sty m:val="p"/>
                </m:rPr>
                <m:t>+</m:t>
              </m:r>
            </m:sup>
          </m:sSup>
          <m:r>
            <m:rPr>
              <m:sty m:val="p"/>
            </m:rPr>
            <m:t>−</m:t>
          </m:r>
          <m:r>
            <m:t>η</m:t>
          </m:r>
          <m:r>
            <m:t> </m:t>
          </m:r>
          <m:sSubSup>
            <m:e>
              <m:r>
                <m:t>R</m:t>
              </m:r>
            </m:e>
            <m:sub>
              <m:r>
                <m:t>s</m:t>
              </m:r>
            </m:sub>
            <m:sup>
              <m:d>
                <m:dPr>
                  <m:begChr m:val="("/>
                  <m:endChr m:val=")"/>
                  <m:sepChr m:val=""/>
                  <m:grow/>
                </m:dPr>
                <m:e>
                  <m:r>
                    <m:rPr>
                      <m:nor/>
                      <m:sty m:val="p"/>
                    </m:rPr>
                    <m:t>excess</m:t>
                  </m:r>
                </m:e>
              </m:d>
            </m:sup>
          </m:sSubSup>
          <m:d>
            <m:dPr>
              <m:begChr m:val="("/>
              <m:endChr m:val=")"/>
              <m:sepChr m:val=""/>
              <m:grow/>
            </m:dPr>
            <m:e>
              <m:r>
                <m:t>t</m:t>
              </m:r>
            </m:e>
          </m:d>
        </m:oMath>
      </m:oMathPara>
    </w:p>
    <w:p>
      <w:pPr>
        <w:pStyle w:val="FirstParagraph"/>
      </w:pPr>
      <w:r>
        <w:t xml:space="preserve">donde</w:t>
      </w:r>
      <w:r>
        <w:t xml:space="preserve"> </w:t>
      </w:r>
      <m:oMath>
        <m:sSup>
          <m:e>
            <m:d>
              <m:dPr>
                <m:begChr m:val="["/>
                <m:endChr m:val="]"/>
                <m:sepChr m:val=""/>
                <m:grow/>
              </m:dPr>
              <m:e>
                <m:r>
                  <m:rPr>
                    <m:sty m:val="p"/>
                  </m:rPr>
                  <m:t>⋅</m:t>
                </m:r>
              </m:e>
            </m:d>
          </m:e>
          <m:sup>
            <m:r>
              <m:rPr>
                <m:sty m:val="p"/>
              </m:rPr>
              <m:t>+</m:t>
            </m:r>
          </m:sup>
        </m:sSup>
        <m:r>
          <m:rPr>
            <m:sty m:val="p"/>
          </m:rPr>
          <m:t>=</m:t>
        </m:r>
        <m:r>
          <m:rPr>
            <m:sty m:val="p"/>
          </m:rPr>
          <m:t>max</m:t>
        </m:r>
        <m:d>
          <m:dPr>
            <m:begChr m:val="("/>
            <m:endChr m:val=")"/>
            <m:sepChr m:val=""/>
            <m:grow/>
          </m:dPr>
          <m:e>
            <m:r>
              <m:t>0</m:t>
            </m:r>
            <m:r>
              <m:rPr>
                <m:sty m:val="p"/>
              </m:rPr>
              <m:t>,</m:t>
            </m:r>
            <m:r>
              <m:rPr>
                <m:sty m:val="p"/>
              </m:rPr>
              <m:t>⋅</m:t>
            </m:r>
          </m:e>
        </m:d>
      </m:oMath>
      <w:r>
        <w:t xml:space="preserve">,</w:t>
      </w:r>
      <w:r>
        <w:t xml:space="preserve"> </w:t>
      </w:r>
      <m:oMath>
        <m:r>
          <m:t>ρ</m:t>
        </m:r>
        <m:r>
          <m:rPr>
            <m:sty m:val="p"/>
          </m:rPr>
          <m:t>&gt;</m:t>
        </m:r>
        <m:r>
          <m:t>1</m:t>
        </m:r>
      </m:oMath>
      <w:r>
        <w:t xml:space="preserve"> </w:t>
      </w:r>
      <w:r>
        <w:t xml:space="preserve">es el factor de anticipación (típicamente</w:t>
      </w:r>
      <w:r>
        <w:t xml:space="preserve"> </w:t>
      </w:r>
      <m:oMath>
        <m:r>
          <m:t>ρ</m:t>
        </m:r>
        <m:r>
          <m:rPr>
            <m:sty m:val="p"/>
          </m:rPr>
          <m:t>=</m:t>
        </m:r>
        <m:r>
          <m:t>1.2</m:t>
        </m:r>
      </m:oMath>
      <w:r>
        <w:t xml:space="preserve">),</w:t>
      </w:r>
      <w:r>
        <w:t xml:space="preserve"> </w:t>
      </w:r>
      <m:oMath>
        <m:r>
          <m:t>η</m:t>
        </m:r>
        <m:r>
          <m:rPr>
            <m:sty m:val="p"/>
          </m:rPr>
          <m:t>∈</m:t>
        </m:r>
        <m:d>
          <m:dPr>
            <m:begChr m:val="("/>
            <m:endChr m:val=")"/>
            <m:sepChr m:val=""/>
            <m:grow/>
          </m:dPr>
          <m:e>
            <m:r>
              <m:t>0</m:t>
            </m:r>
            <m:r>
              <m:rPr>
                <m:sty m:val="p"/>
              </m:rPr>
              <m:t>,</m:t>
            </m:r>
            <m:r>
              <m:t>1</m:t>
            </m:r>
          </m:e>
        </m:d>
      </m:oMath>
      <w:r>
        <w:t xml:space="preserve"> </w:t>
      </w:r>
      <w:r>
        <w:t xml:space="preserve">es la tasa de liberación de exceso (típicamente</w:t>
      </w:r>
      <w:r>
        <w:t xml:space="preserve"> </w:t>
      </w:r>
      <m:oMath>
        <m:r>
          <m:t>η</m:t>
        </m:r>
        <m:r>
          <m:rPr>
            <m:sty m:val="p"/>
          </m:rPr>
          <m:t>=</m:t>
        </m:r>
        <m:r>
          <m:t>0.5</m:t>
        </m:r>
      </m:oMath>
      <w:r>
        <w:t xml:space="preserve">), y</w:t>
      </w:r>
      <w:r>
        <w:t xml:space="preserve"> </w:t>
      </w:r>
      <m:oMath>
        <m:sSubSup>
          <m:e>
            <m:r>
              <m:t>R</m:t>
            </m:r>
          </m:e>
          <m:sub>
            <m:r>
              <m:t>s</m:t>
            </m:r>
          </m:sub>
          <m:sup>
            <m:d>
              <m:dPr>
                <m:begChr m:val="("/>
                <m:endChr m:val=")"/>
                <m:sepChr m:val=""/>
                <m:grow/>
              </m:dPr>
              <m:e>
                <m:r>
                  <m:rPr>
                    <m:nor/>
                    <m:sty m:val="p"/>
                  </m:rPr>
                  <m:t>excess</m:t>
                </m:r>
              </m:e>
            </m:d>
          </m:sup>
        </m:sSubSup>
        <m:r>
          <m:rPr>
            <m:sty m:val="p"/>
          </m:rPr>
          <m:t>=</m:t>
        </m:r>
        <m:sSub>
          <m:e>
            <m:r>
              <m:t>R</m:t>
            </m:r>
          </m:e>
          <m:sub>
            <m:r>
              <m:t>s</m:t>
            </m:r>
          </m:sub>
        </m:sSub>
        <m:r>
          <m:rPr>
            <m:sty m:val="p"/>
          </m:rPr>
          <m:t>−</m:t>
        </m:r>
        <m:sSub>
          <m:e>
            <m:acc>
              <m:accPr>
                <m:chr m:val="̂"/>
              </m:accPr>
              <m:e>
                <m:r>
                  <m:t>d</m:t>
                </m:r>
              </m:e>
            </m:acc>
          </m:e>
          <m:sub>
            <m:r>
              <m:t>s</m:t>
            </m:r>
          </m:sub>
        </m:sSub>
        <m:d>
          <m:dPr>
            <m:begChr m:val="("/>
            <m:endChr m:val=")"/>
            <m:sepChr m:val=""/>
            <m:grow/>
          </m:dPr>
          <m:e>
            <m:r>
              <m:t>t</m:t>
            </m:r>
          </m:e>
        </m:d>
        <m:r>
          <m:rPr>
            <m:sty m:val="p"/>
          </m:rPr>
          <m:t>/</m:t>
        </m:r>
        <m:sSubSup>
          <m:e>
            <m:r>
              <m:t>r</m:t>
            </m:r>
          </m:e>
          <m:sub>
            <m:r>
              <m:t>s</m:t>
            </m:r>
          </m:sub>
          <m:sup>
            <m:r>
              <m:rPr>
                <m:sty m:val="p"/>
              </m:rPr>
              <m:t>max</m:t>
            </m:r>
          </m:sup>
        </m:sSubSup>
      </m:oMath>
      <w:r>
        <w:t xml:space="preserve"> </w:t>
      </w:r>
      <w:r>
        <w:t xml:space="preserve">es el exceso de recursos asignados. Esta regla garantiza el SLA mientras evita la sobre-asignación persistente.</w:t>
      </w:r>
    </w:p>
    <w:p>
      <w:pPr>
        <w:pStyle w:val="BodyText"/>
      </w:pPr>
      <w:r>
        <w:t xml:space="preserve">La comparación entre gestión reactiva y proactiva se visualiza en la Figura 5. La Figura 5 compara el comportamiento temporal de la gestión reactiva versus proactiva en términos de asignación de recursos y demanda real durante 24 horas consecutivas. Se muestran tres series temporales superpuestas: demanda real (línea roja), asignación reactiva (línea azul discontinua) y asignación proactiva (línea verde sólida). La gestión reactiva muestra claramente un comportamiento retrasado respecto a la demanda: durante los incrementos pre-pico, la asignación reactiva permanece baja hasta que el pico es observado, generando un periodo de sub-asignación con bloqueo de llamadas; inmediatamente después del pico, la asignación sobre-reacciona. En contraste, la gestión proactiva anticipa los incrementos, asignando recursos antes de los picos y logrando una cobertura suave que elimina los episodios de sub-asignación, lo que reduce el bloqueo en ~40.9%.</w:t>
      </w:r>
    </w:p>
    <w:p>
      <w:pPr>
        <w:pStyle w:val="BodyText"/>
      </w:pPr>
      <w:r>
        <w:rPr>
          <w:bCs/>
          <w:b/>
        </w:rPr>
        <w:t xml:space="preserve">Figura 5</w:t>
      </w:r>
      <w:r>
        <w:t xml:space="preserve"> </w:t>
      </w:r>
      <w:r>
        <w:rPr>
          <w:iCs/>
          <w:i/>
        </w:rPr>
        <w:t xml:space="preserve">Fig. 5. Comparación temporal: demanda real (rojo), asignación reactiva (azul discontinua) y proactiva (verde sólida) durante 24 h. La gestión proactiva anticipa los picos, eliminando episodios de sub-asignación.</w:t>
      </w:r>
    </w:p>
    <w:p>
      <w:pPr>
        <w:pStyle w:val="BodyText"/>
      </w:pPr>
      <w:r>
        <w:t xml:space="preserve">La distribución de utilización de recursos se presenta en la Figura 6. La Figura 6 presenta la distribución de la utilización de recursos radio (PRB utilization) para gestión reactiva y proactiva mediante histogramas superpuestos con 20 intervalos en el rango [0%,100%]. El eje vertical muestra la frecuencia relativa (densidad de probabilidad normalizada). La distribución reactiva (barras azules, gaussiana aproximada centrada en ~62% con desviación estándar ~18%) muestra cola inferior significativa indicando sub-utilización frecuente (</w:t>
      </w:r>
      <m:oMath>
        <m:r>
          <m:t>P</m:t>
        </m:r>
        <m:d>
          <m:dPr>
            <m:begChr m:val="("/>
            <m:endChr m:val=")"/>
            <m:sepChr m:val=""/>
            <m:grow/>
          </m:dPr>
          <m:e>
            <m:r>
              <m:rPr>
                <m:nor/>
                <m:sty m:val="p"/>
              </m:rPr>
              <m:t>util</m:t>
            </m:r>
            <m:r>
              <m:rPr>
                <m:sty m:val="p"/>
              </m:rPr>
              <m:t>&lt;</m:t>
            </m:r>
            <m:r>
              <m:t>40</m:t>
            </m:r>
            <m:r>
              <m:rPr>
                <m:sty m:val="p"/>
              </m:rPr>
              <m:t>%</m:t>
            </m:r>
          </m:e>
        </m:d>
        <m:r>
          <m:rPr>
            <m:sty m:val="p"/>
          </m:rPr>
          <m:t>≈</m:t>
        </m:r>
        <m:r>
          <m:t>15</m:t>
        </m:r>
        <m:r>
          <m:rPr>
            <m:sty m:val="p"/>
          </m:rPr>
          <m:t>%</m:t>
        </m:r>
      </m:oMath>
      <w:r>
        <w:t xml:space="preserve">), además de cola superior indicando saturación (</w:t>
      </w:r>
      <m:oMath>
        <m:r>
          <m:t>P</m:t>
        </m:r>
        <m:d>
          <m:dPr>
            <m:begChr m:val="("/>
            <m:endChr m:val=")"/>
            <m:sepChr m:val=""/>
            <m:grow/>
          </m:dPr>
          <m:e>
            <m:r>
              <m:rPr>
                <m:nor/>
                <m:sty m:val="p"/>
              </m:rPr>
              <m:t>util</m:t>
            </m:r>
            <m:r>
              <m:rPr>
                <m:sty m:val="p"/>
              </m:rPr>
              <m:t>&gt;</m:t>
            </m:r>
            <m:r>
              <m:t>90</m:t>
            </m:r>
            <m:r>
              <m:rPr>
                <m:sty m:val="p"/>
              </m:rPr>
              <m:t>%</m:t>
            </m:r>
          </m:e>
        </m:d>
        <m:r>
          <m:rPr>
            <m:sty m:val="p"/>
          </m:rPr>
          <m:t>≈</m:t>
        </m:r>
        <m:r>
          <m:t>8</m:t>
        </m:r>
        <m:r>
          <m:rPr>
            <m:sty m:val="p"/>
          </m:rPr>
          <m:t>%</m:t>
        </m:r>
      </m:oMath>
      <w:r>
        <w:t xml:space="preserve">). La distribución proactiva (barras verdes, centrada en ~76% con desviación estándar ~10%) es más estrecha y desplazada hacia el rango óptimo de operación (70–80%), con drástica reducción de episodios de sub-utilización (</w:t>
      </w:r>
      <m:oMath>
        <m:r>
          <m:t>P</m:t>
        </m:r>
        <m:d>
          <m:dPr>
            <m:begChr m:val="("/>
            <m:endChr m:val=")"/>
            <m:sepChr m:val=""/>
            <m:grow/>
          </m:dPr>
          <m:e>
            <m:r>
              <m:rPr>
                <m:nor/>
                <m:sty m:val="p"/>
              </m:rPr>
              <m:t>util</m:t>
            </m:r>
            <m:r>
              <m:rPr>
                <m:sty m:val="p"/>
              </m:rPr>
              <m:t>&lt;</m:t>
            </m:r>
            <m:r>
              <m:t>40</m:t>
            </m:r>
            <m:r>
              <m:rPr>
                <m:sty m:val="p"/>
              </m:rPr>
              <m:t>%</m:t>
            </m:r>
          </m:e>
        </m:d>
        <m:r>
          <m:rPr>
            <m:sty m:val="p"/>
          </m:rPr>
          <m:t>≈</m:t>
        </m:r>
        <m:r>
          <m:t>2</m:t>
        </m:r>
        <m:r>
          <m:rPr>
            <m:sty m:val="p"/>
          </m:rPr>
          <m:t>%</m:t>
        </m:r>
      </m:oMath>
      <w:r>
        <w:t xml:space="preserve">) y de saturación (</w:t>
      </w:r>
      <m:oMath>
        <m:r>
          <m:t>P</m:t>
        </m:r>
        <m:d>
          <m:dPr>
            <m:begChr m:val="("/>
            <m:endChr m:val=")"/>
            <m:sepChr m:val=""/>
            <m:grow/>
          </m:dPr>
          <m:e>
            <m:r>
              <m:rPr>
                <m:nor/>
                <m:sty m:val="p"/>
              </m:rPr>
              <m:t>util</m:t>
            </m:r>
            <m:r>
              <m:rPr>
                <m:sty m:val="p"/>
              </m:rPr>
              <m:t>&gt;</m:t>
            </m:r>
            <m:r>
              <m:t>90</m:t>
            </m:r>
            <m:r>
              <m:rPr>
                <m:sty m:val="p"/>
              </m:rPr>
              <m:t>%</m:t>
            </m:r>
          </m:e>
        </m:d>
        <m:r>
          <m:rPr>
            <m:sty m:val="p"/>
          </m:rPr>
          <m:t>≈</m:t>
        </m:r>
        <m:r>
          <m:t>3</m:t>
        </m:r>
        <m:r>
          <m:rPr>
            <m:sty m:val="p"/>
          </m:rPr>
          <m:t>%</m:t>
        </m:r>
      </m:oMath>
      <w:r>
        <w:t xml:space="preserve">), validando la mejora del 22.2% en utilización media reportada en la Tabla IV.</w:t>
      </w:r>
    </w:p>
    <w:p>
      <w:pPr>
        <w:pStyle w:val="BodyText"/>
      </w:pPr>
      <w:r>
        <w:rPr>
          <w:bCs/>
          <w:b/>
        </w:rPr>
        <w:t xml:space="preserve">Figura 6</w:t>
      </w:r>
      <w:r>
        <w:t xml:space="preserve"> </w:t>
      </w:r>
      <w:r>
        <w:rPr>
          <w:iCs/>
          <w:i/>
        </w:rPr>
        <w:t xml:space="preserve">Fig. 6. Histogramas de PRB utilization: reactivo (azul,</w:t>
      </w:r>
      <w:r>
        <w:rPr>
          <w:iCs/>
          <w:i/>
        </w:rPr>
        <w:t xml:space="preserve"> </w:t>
      </w:r>
      <m:oMath>
        <m:r>
          <m:t>μ</m:t>
        </m:r>
        <m:r>
          <m:rPr>
            <m:sty m:val="p"/>
          </m:rPr>
          <m:t>≈</m:t>
        </m:r>
        <m:r>
          <m:t>62</m:t>
        </m:r>
        <m:r>
          <m:rPr>
            <m:sty m:val="p"/>
          </m:rPr>
          <m:t>%</m:t>
        </m:r>
      </m:oMath>
      <w:r>
        <w:rPr>
          <w:iCs/>
          <w:i/>
        </w:rPr>
        <w:t xml:space="preserve">,</w:t>
      </w:r>
      <w:r>
        <w:rPr>
          <w:iCs/>
          <w:i/>
        </w:rPr>
        <w:t xml:space="preserve"> </w:t>
      </w:r>
      <m:oMath>
        <m:r>
          <m:t>σ</m:t>
        </m:r>
        <m:r>
          <m:rPr>
            <m:sty m:val="p"/>
          </m:rPr>
          <m:t>≈</m:t>
        </m:r>
        <m:r>
          <m:t>18</m:t>
        </m:r>
        <m:r>
          <m:rPr>
            <m:sty m:val="p"/>
          </m:rPr>
          <m:t>%</m:t>
        </m:r>
      </m:oMath>
      <w:r>
        <w:rPr>
          <w:iCs/>
          <w:i/>
        </w:rPr>
        <w:t xml:space="preserve">) vs. proactivo (verde,</w:t>
      </w:r>
      <w:r>
        <w:rPr>
          <w:iCs/>
          <w:i/>
        </w:rPr>
        <w:t xml:space="preserve"> </w:t>
      </w:r>
      <m:oMath>
        <m:r>
          <m:t>μ</m:t>
        </m:r>
        <m:r>
          <m:rPr>
            <m:sty m:val="p"/>
          </m:rPr>
          <m:t>≈</m:t>
        </m:r>
        <m:r>
          <m:t>76</m:t>
        </m:r>
        <m:r>
          <m:rPr>
            <m:sty m:val="p"/>
          </m:rPr>
          <m:t>%</m:t>
        </m:r>
      </m:oMath>
      <w:r>
        <w:rPr>
          <w:iCs/>
          <w:i/>
        </w:rPr>
        <w:t xml:space="preserve">,</w:t>
      </w:r>
      <w:r>
        <w:rPr>
          <w:iCs/>
          <w:i/>
        </w:rPr>
        <w:t xml:space="preserve"> </w:t>
      </w:r>
      <m:oMath>
        <m:r>
          <m:t>σ</m:t>
        </m:r>
        <m:r>
          <m:rPr>
            <m:sty m:val="p"/>
          </m:rPr>
          <m:t>≈</m:t>
        </m:r>
        <m:r>
          <m:t>10</m:t>
        </m:r>
        <m:r>
          <m:rPr>
            <m:sty m:val="p"/>
          </m:rPr>
          <m:t>%</m:t>
        </m:r>
      </m:oMath>
      <w:r>
        <w:rPr>
          <w:iCs/>
          <w:i/>
        </w:rPr>
        <w:t xml:space="preserve">). La gestión proactiva concentra la distribución en el rango óptimo.</w:t>
      </w:r>
    </w:p>
    <w:p>
      <w:r>
        <w:pict>
          <v:rect style="width:0;height:1.5pt" o:hralign="center" o:hrstd="t" o:hr="t"/>
        </w:pict>
      </w:r>
    </w:p>
    <w:bookmarkEnd w:id="47"/>
    <w:bookmarkEnd w:id="48"/>
    <w:bookmarkStart w:id="54" w:name="vi-algoritmos-paso-a-paso"/>
    <w:p>
      <w:pPr>
        <w:pStyle w:val="Heading2"/>
      </w:pPr>
      <w:r>
        <w:t xml:space="preserve">VI. ALGORITMOS PASO A PASO</w:t>
      </w:r>
    </w:p>
    <w:bookmarkStart w:id="49" w:name="Xb4e86abeecd1f09c1e3881f4f05bf0aa16e57b8"/>
    <w:p>
      <w:pPr>
        <w:pStyle w:val="Heading3"/>
      </w:pPr>
      <w:r>
        <w:t xml:space="preserve">A. Algoritmo 1: Entrenamiento del Modelo LSTM</w:t>
      </w:r>
    </w:p>
    <w:p>
      <w:pPr>
        <w:pStyle w:val="SourceCode"/>
      </w:pPr>
      <w:r>
        <w:rPr>
          <w:rStyle w:val="VerbatimChar"/>
        </w:rPr>
        <w:t xml:space="preserve">Algoritmo 1: Entrenamiento del Modelo LSTM Multi-Resolución con Atención</w:t>
      </w:r>
      <w:r>
        <w:br/>
      </w:r>
      <w:r>
        <w:rPr>
          <w:rStyle w:val="VerbatimChar"/>
        </w:rPr>
        <w:t xml:space="preserve">Entrada: Dataset D = {(X(t), y(t))}, hiperparámetros {η₀, τ, w, d_h, p, δ, λ}</w:t>
      </w:r>
      <w:r>
        <w:br/>
      </w:r>
      <w:r>
        <w:rPr>
          <w:rStyle w:val="VerbatimChar"/>
        </w:rPr>
        <w:t xml:space="preserve">Salida:  Parámetros optimizados θ* y estadísticas de residuales</w:t>
      </w:r>
      <w:r>
        <w:br/>
      </w:r>
      <w:r>
        <w:br/>
      </w:r>
      <w:r>
        <w:rPr>
          <w:rStyle w:val="VerbatimChar"/>
        </w:rPr>
        <w:t xml:space="preserve">Paso 1: Preprocesamiento</w:t>
      </w:r>
      <w:r>
        <w:br/>
      </w:r>
      <w:r>
        <w:rPr>
          <w:rStyle w:val="VerbatimChar"/>
        </w:rPr>
        <w:t xml:space="preserve">  1.1  Descomposición STL (Ec. 18): X(t) → T(t) + S(t) + R(t)</w:t>
      </w:r>
      <w:r>
        <w:br/>
      </w:r>
      <w:r>
        <w:rPr>
          <w:rStyle w:val="VerbatimChar"/>
        </w:rPr>
        <w:t xml:space="preserve">  1.2  Normalizar R(t) con Min-Max (percentiles 5-95) a [0,1]</w:t>
      </w:r>
      <w:r>
        <w:br/>
      </w:r>
      <w:r>
        <w:rPr>
          <w:rStyle w:val="VerbatimChar"/>
        </w:rPr>
        <w:t xml:space="preserve">  1.3  Generar resoluciones X^(1), X^(2), X^(3) (Ecs. 27-29) con downsampling</w:t>
      </w:r>
      <w:r>
        <w:br/>
      </w:r>
      <w:r>
        <w:rPr>
          <w:rStyle w:val="VerbatimChar"/>
        </w:rPr>
        <w:t xml:space="preserve">  1.4  Construir ventanas deslizantes de tamaño w=96 con horizonte τ</w:t>
      </w:r>
      <w:r>
        <w:br/>
      </w:r>
      <w:r>
        <w:rPr>
          <w:rStyle w:val="VerbatimChar"/>
        </w:rPr>
        <w:t xml:space="preserve">  1.5  Extraer variables exógenas (hora, día, festivo) y calcular embeddings</w:t>
      </w:r>
      <w:r>
        <w:br/>
      </w:r>
      <w:r>
        <w:rPr>
          <w:rStyle w:val="VerbatimChar"/>
        </w:rPr>
        <w:t xml:space="preserve">  1.6  Partición temporal: D_train (70%), D_val (15%), D_test (15%)</w:t>
      </w:r>
      <w:r>
        <w:br/>
      </w:r>
      <w:r>
        <w:br/>
      </w:r>
      <w:r>
        <w:rPr>
          <w:rStyle w:val="VerbatimChar"/>
        </w:rPr>
        <w:t xml:space="preserve">Paso 2: Inicialización del modelo</w:t>
      </w:r>
      <w:r>
        <w:br/>
      </w:r>
      <w:r>
        <w:rPr>
          <w:rStyle w:val="VerbatimChar"/>
        </w:rPr>
        <w:t xml:space="preserve">  2.1  Pesos: W ~ Glorot-Uniform [−√(6/(n_in+n_out)), √(6/(n_in+n_out))]</w:t>
      </w:r>
      <w:r>
        <w:br/>
      </w:r>
      <w:r>
        <w:rPr>
          <w:rStyle w:val="VerbatimChar"/>
        </w:rPr>
        <w:t xml:space="preserve">  2.2  Sesgos de compuertas de olvido: b_f = 1.0 (favorece retención inicial)</w:t>
      </w:r>
      <w:r>
        <w:br/>
      </w:r>
      <w:r>
        <w:rPr>
          <w:rStyle w:val="VerbatimChar"/>
        </w:rPr>
        <w:t xml:space="preserve">  2.3  Demás sesgos: b = 0; Adam: m_0 = 0, v_0 = 0, k = 0</w:t>
      </w:r>
      <w:r>
        <w:br/>
      </w:r>
      <w:r>
        <w:rPr>
          <w:rStyle w:val="VerbatimChar"/>
        </w:rPr>
        <w:t xml:space="preserve">  2.4  Learning rate scheduler: η(epoch) = η₀ · ReduceOnPlateau(factor=0.5, patience=20)</w:t>
      </w:r>
      <w:r>
        <w:br/>
      </w:r>
      <w:r>
        <w:br/>
      </w:r>
      <w:r>
        <w:rPr>
          <w:rStyle w:val="VerbatimChar"/>
        </w:rPr>
        <w:t xml:space="preserve">Paso 3: Bucle de entrenamiento (para epoch = 1,...,N_max)</w:t>
      </w:r>
      <w:r>
        <w:br/>
      </w:r>
      <w:r>
        <w:rPr>
          <w:rStyle w:val="VerbatimChar"/>
        </w:rPr>
        <w:t xml:space="preserve">  Para cada mini-batch B ⊂ D_train, |B|=64:</w:t>
      </w:r>
      <w:r>
        <w:br/>
      </w:r>
      <w:r>
        <w:rPr>
          <w:rStyle w:val="VerbatimChar"/>
        </w:rPr>
        <w:t xml:space="preserve">    3.1  Forward pass completo (Capas 1-5, Ecs. 19-31)</w:t>
      </w:r>
      <w:r>
        <w:br/>
      </w:r>
      <w:r>
        <w:rPr>
          <w:rStyle w:val="VerbatimChar"/>
        </w:rPr>
        <w:t xml:space="preserve">    3.2  Calcular L = Σ_k α_k · L_Huber(y_k, ŷ_k) + (λ/2)||θ||² (Ecs. 12-13)</w:t>
      </w:r>
      <w:r>
        <w:br/>
      </w:r>
      <w:r>
        <w:rPr>
          <w:rStyle w:val="VerbatimChar"/>
        </w:rPr>
        <w:t xml:space="preserve">    3.3  Backward pass (BPTT) para ∇_θ L mediante autodiferenciación</w:t>
      </w:r>
      <w:r>
        <w:br/>
      </w:r>
      <w:r>
        <w:rPr>
          <w:rStyle w:val="VerbatimChar"/>
        </w:rPr>
        <w:t xml:space="preserve">    3.4  Gradient clipping: si ||∇||₂ &gt; 1.0, escalar ∇ ← ∇/||∇||₂</w:t>
      </w:r>
      <w:r>
        <w:br/>
      </w:r>
      <w:r>
        <w:rPr>
          <w:rStyle w:val="VerbatimChar"/>
        </w:rPr>
        <w:t xml:space="preserve">    3.5  Actualizar θ con Adam (Ecs. 14-17), paso k ← k+1</w:t>
      </w:r>
      <w:r>
        <w:br/>
      </w:r>
      <w:r>
        <w:rPr>
          <w:rStyle w:val="VerbatimChar"/>
        </w:rPr>
        <w:t xml:space="preserve">  3.6  Calcular L_val en D_val; actualizar scheduler; guardar θ si L_val &lt; L_val_best</w:t>
      </w:r>
      <w:r>
        <w:br/>
      </w:r>
      <w:r>
        <w:rPr>
          <w:rStyle w:val="VerbatimChar"/>
        </w:rPr>
        <w:t xml:space="preserve">  3.7  Early stopping si L_val no mejora en 40 épocas consecutivas</w:t>
      </w:r>
      <w:r>
        <w:br/>
      </w:r>
      <w:r>
        <w:br/>
      </w:r>
      <w:r>
        <w:rPr>
          <w:rStyle w:val="VerbatimChar"/>
        </w:rPr>
        <w:t xml:space="preserve">Paso 4: Búsqueda de hiperparámetros</w:t>
      </w:r>
      <w:r>
        <w:br/>
      </w:r>
      <w:r>
        <w:rPr>
          <w:rStyle w:val="VerbatimChar"/>
        </w:rPr>
        <w:t xml:space="preserve">  4.1  Grid search: d_h ∈ {64,128,256}, τ ∈ {4,8,12,24}, p ∈ {0.2,0.3,0.4}</w:t>
      </w:r>
      <w:r>
        <w:br/>
      </w:r>
      <w:r>
        <w:rPr>
          <w:rStyle w:val="VerbatimChar"/>
        </w:rPr>
        <w:t xml:space="preserve">  4.2  Seleccionar configuración con menor RMSE en D_val</w:t>
      </w:r>
      <w:r>
        <w:br/>
      </w:r>
      <w:r>
        <w:br/>
      </w:r>
      <w:r>
        <w:rPr>
          <w:rStyle w:val="VerbatimChar"/>
        </w:rPr>
        <w:t xml:space="preserve">Paso 5: Desnormalización y recombinación</w:t>
      </w:r>
      <w:r>
        <w:br/>
      </w:r>
      <w:r>
        <w:rPr>
          <w:rStyle w:val="VerbatimChar"/>
        </w:rPr>
        <w:t xml:space="preserve">  5.1  Desnormalizar: R̂(t) = ŷ · (X_95 - X_5) + X_5</w:t>
      </w:r>
      <w:r>
        <w:br/>
      </w:r>
      <w:r>
        <w:rPr>
          <w:rStyle w:val="VerbatimChar"/>
        </w:rPr>
        <w:t xml:space="preserve">  5.2  Recombinar: X̂(t) = T̂(t) + Ŝ(t) + R̂(t)</w:t>
      </w:r>
      <w:r>
        <w:br/>
      </w:r>
      <w:r>
        <w:br/>
      </w:r>
      <w:r>
        <w:rPr>
          <w:rStyle w:val="VerbatimChar"/>
        </w:rPr>
        <w:t xml:space="preserve">Paso 6: Caracterización de residuales para IC</w:t>
      </w:r>
      <w:r>
        <w:br/>
      </w:r>
      <w:r>
        <w:rPr>
          <w:rStyle w:val="VerbatimChar"/>
        </w:rPr>
        <w:t xml:space="preserve">  6.1  Calcular residuales en D_val: r_k(t) = |X(t+k) - X̂(t+k)|, ∀t,k</w:t>
      </w:r>
      <w:r>
        <w:br/>
      </w:r>
      <w:r>
        <w:rPr>
          <w:rStyle w:val="VerbatimChar"/>
        </w:rPr>
        <w:t xml:space="preserve">  6.2  Almacenar cuantiles: q̂_k(α) = Quantile(r_k, α) para α ∈ {0.025,0.975}</w:t>
      </w:r>
      <w:r>
        <w:br/>
      </w:r>
      <w:r>
        <w:rPr>
          <w:rStyle w:val="VerbatimChar"/>
        </w:rPr>
        <w:t xml:space="preserve">  6.3  Evaluar θ* en D_test: reportar RMSE, MAE, MAPE, R²</w:t>
      </w:r>
    </w:p>
    <w:bookmarkEnd w:id="49"/>
    <w:bookmarkStart w:id="50" w:name="X478faf674dc372a18da31da55239b796f9d17f5"/>
    <w:p>
      <w:pPr>
        <w:pStyle w:val="Heading3"/>
      </w:pPr>
      <w:r>
        <w:t xml:space="preserve">B. Algoritmo 2: Predicción en Tiempo Real con Intervalos de Confianza</w:t>
      </w:r>
    </w:p>
    <w:p>
      <w:pPr>
        <w:pStyle w:val="SourceCode"/>
      </w:pPr>
      <w:r>
        <w:rPr>
          <w:rStyle w:val="VerbatimChar"/>
        </w:rPr>
        <w:t xml:space="preserve">Algoritmo 2: Predicción en Tiempo Real con Intervalos de Confianza (Conformal)</w:t>
      </w:r>
      <w:r>
        <w:br/>
      </w:r>
      <w:r>
        <w:rPr>
          <w:rStyle w:val="VerbatimChar"/>
        </w:rPr>
        <w:t xml:space="preserve">Entrada:  θ*, buffer circular B_t = [X(t-w+1),...,X(t)], nivel α, horizonte τ</w:t>
      </w:r>
      <w:r>
        <w:br/>
      </w:r>
      <w:r>
        <w:rPr>
          <w:rStyle w:val="VerbatimChar"/>
        </w:rPr>
        <w:t xml:space="preserve">Salida:   Predicciones {X̂(t+k)}_{k=1}^τ con intervalos [L_k, U_k]</w:t>
      </w:r>
      <w:r>
        <w:br/>
      </w:r>
      <w:r>
        <w:br/>
      </w:r>
      <w:r>
        <w:rPr>
          <w:rStyle w:val="VerbatimChar"/>
        </w:rPr>
        <w:t xml:space="preserve">Paso 1: Control de calidad del buffer</w:t>
      </w:r>
      <w:r>
        <w:br/>
      </w:r>
      <w:r>
        <w:rPr>
          <w:rStyle w:val="VerbatimChar"/>
        </w:rPr>
        <w:t xml:space="preserve">  1.1  Si X(t) = NaN: imputar por interpolación lineal local (ventana ±3 pasos)</w:t>
      </w:r>
      <w:r>
        <w:br/>
      </w:r>
      <w:r>
        <w:rPr>
          <w:rStyle w:val="VerbatimChar"/>
        </w:rPr>
        <w:t xml:space="preserve">  1.2  Si |z-score(X(t))| &gt; 3.5: reemplazar por mediana(X(t-5:t+5)) si disponible</w:t>
      </w:r>
      <w:r>
        <w:br/>
      </w:r>
      <w:r>
        <w:rPr>
          <w:rStyle w:val="VerbatimChar"/>
        </w:rPr>
        <w:t xml:space="preserve">  1.3  Insertar X(t) en buffer; descartar X(t-w-1); registrar latencia de llegada</w:t>
      </w:r>
      <w:r>
        <w:br/>
      </w:r>
      <w:r>
        <w:br/>
      </w:r>
      <w:r>
        <w:rPr>
          <w:rStyle w:val="VerbatimChar"/>
        </w:rPr>
        <w:t xml:space="preserve">Paso 2: Feature engineering</w:t>
      </w:r>
      <w:r>
        <w:br/>
      </w:r>
      <w:r>
        <w:rPr>
          <w:rStyle w:val="VerbatimChar"/>
        </w:rPr>
        <w:t xml:space="preserve">  2.1  Extraer (hora_t, día_t, festivo_t) → embeddings cíclicos y aprendidos</w:t>
      </w:r>
      <w:r>
        <w:br/>
      </w:r>
      <w:r>
        <w:rPr>
          <w:rStyle w:val="VerbatimChar"/>
        </w:rPr>
        <w:t xml:space="preserve">  2.2  Normalizar buffer B_t con parámetros de entrenamiento (X_5, X_95)</w:t>
      </w:r>
      <w:r>
        <w:br/>
      </w:r>
      <w:r>
        <w:rPr>
          <w:rStyle w:val="VerbatimChar"/>
        </w:rPr>
        <w:t xml:space="preserve">  2.3  Construir X^(1), X^(2), X^(3) del buffer normalizado (Ecs. 27-29)</w:t>
      </w:r>
      <w:r>
        <w:br/>
      </w:r>
      <w:r>
        <w:br/>
      </w:r>
      <w:r>
        <w:rPr>
          <w:rStyle w:val="VerbatimChar"/>
        </w:rPr>
        <w:t xml:space="preserve">Paso 3: Inferencia del modelo (latencia objetivo: &lt;50 ms en CPU)</w:t>
      </w:r>
      <w:r>
        <w:br/>
      </w:r>
      <w:r>
        <w:rPr>
          <w:rStyle w:val="VerbatimChar"/>
        </w:rPr>
        <w:t xml:space="preserve">  3.1  Capa 1: calcular embeddings temporales y concatenar con tráfico</w:t>
      </w:r>
      <w:r>
        <w:br/>
      </w:r>
      <w:r>
        <w:rPr>
          <w:rStyle w:val="VerbatimChar"/>
        </w:rPr>
        <w:t xml:space="preserve">  3.2  Capa 2: forward pass paralelo en 3 ramas BiLSTM (Ec. 30)</w:t>
      </w:r>
      <w:r>
        <w:br/>
      </w:r>
      <w:r>
        <w:rPr>
          <w:rStyle w:val="VerbatimChar"/>
        </w:rPr>
        <w:t xml:space="preserve">  3.3  Capa 3: fusión con atención de resolución (Ec. 31)</w:t>
      </w:r>
      <w:r>
        <w:br/>
      </w:r>
      <w:r>
        <w:rPr>
          <w:rStyle w:val="VerbatimChar"/>
        </w:rPr>
        <w:t xml:space="preserve">  3.4  Capa 4 - Encoder: calcular {h_i^(enc)}_{i=1}^T (Ec. 21)</w:t>
      </w:r>
      <w:r>
        <w:br/>
      </w:r>
      <w:r>
        <w:rPr>
          <w:rStyle w:val="VerbatimChar"/>
        </w:rPr>
        <w:t xml:space="preserve">  3.5  Capa 4 - Decoder: generar ŷ_1,...,ŷ_τ con atención Bahdanau (Ecs. 22-26)</w:t>
      </w:r>
      <w:r>
        <w:br/>
      </w:r>
      <w:r>
        <w:rPr>
          <w:rStyle w:val="VerbatimChar"/>
        </w:rPr>
        <w:t xml:space="preserve">  3.6  Capa 5: desnormalizar ŷ_k → X̂(t+k), recombinar con T̂(t+k)+Ŝ(t+k)</w:t>
      </w:r>
      <w:r>
        <w:br/>
      </w:r>
      <w:r>
        <w:br/>
      </w:r>
      <w:r>
        <w:rPr>
          <w:rStyle w:val="VerbatimChar"/>
        </w:rPr>
        <w:t xml:space="preserve">Paso 4: Intervalos de confianza conformales</w:t>
      </w:r>
      <w:r>
        <w:br/>
      </w:r>
      <w:r>
        <w:rPr>
          <w:rStyle w:val="VerbatimChar"/>
        </w:rPr>
        <w:t xml:space="preserve">  4.1  L_k = X̂(t+k) - q̂_k(0.975), U_k = X̂(t+k) + q̂_k(0.975) (Algoritmo 1, Paso 6)</w:t>
      </w:r>
      <w:r>
        <w:br/>
      </w:r>
      <w:r>
        <w:rPr>
          <w:rStyle w:val="VerbatimChar"/>
        </w:rPr>
        <w:t xml:space="preserve">  4.2  Verificar cobertura empírica: si coverage(últimas 168h) &lt; 1-α-0.02, recalibrar q̂_k</w:t>
      </w:r>
      <w:r>
        <w:br/>
      </w:r>
      <w:r>
        <w:rPr>
          <w:rStyle w:val="VerbatimChar"/>
        </w:rPr>
        <w:t xml:space="preserve">  4.3  Propagar σ̂_k = (U_k - L_k)/4 al Algoritmo 3 para márgenes robustos (Ec. 38)</w:t>
      </w:r>
      <w:r>
        <w:br/>
      </w:r>
      <w:r>
        <w:br/>
      </w:r>
      <w:r>
        <w:rPr>
          <w:rStyle w:val="VerbatimChar"/>
        </w:rPr>
        <w:t xml:space="preserve">Paso 5: Salida y monitoreo</w:t>
      </w:r>
      <w:r>
        <w:br/>
      </w:r>
      <w:r>
        <w:rPr>
          <w:rStyle w:val="VerbatimChar"/>
        </w:rPr>
        <w:t xml:space="preserve">  5.1  Retornar ({X̂(t+k)}, {L_k}, {U_k}, {σ̂_k}) para k=1,...,τ</w:t>
      </w:r>
      <w:r>
        <w:br/>
      </w:r>
      <w:r>
        <w:rPr>
          <w:rStyle w:val="VerbatimChar"/>
        </w:rPr>
        <w:t xml:space="preserve">  5.2  Registrar en NWDAF: predicciones, ICs, latencia de inferencia, timestamp</w:t>
      </w:r>
      <w:r>
        <w:br/>
      </w:r>
      <w:r>
        <w:rPr>
          <w:rStyle w:val="VerbatimChar"/>
        </w:rPr>
        <w:t xml:space="preserve">  5.3  Si latencia_inferencia &gt; 100 ms: activar modo batch reducido (τ=4 únicamente)</w:t>
      </w:r>
    </w:p>
    <w:bookmarkEnd w:id="50"/>
    <w:bookmarkStart w:id="51" w:name="Xe26ed82a5d62f5eeab9bad66469b475fde43ff7"/>
    <w:p>
      <w:pPr>
        <w:pStyle w:val="Heading3"/>
      </w:pPr>
      <w:r>
        <w:t xml:space="preserve">C. Algoritmo 3: Asignación Proactiva de Recursos</w:t>
      </w:r>
    </w:p>
    <w:p>
      <w:pPr>
        <w:pStyle w:val="SourceCode"/>
      </w:pPr>
      <w:r>
        <w:rPr>
          <w:rStyle w:val="VerbatimChar"/>
        </w:rPr>
        <w:t xml:space="preserve">Algoritmo 3: Asignación Proactiva de Recursos con Optimización Robusta</w:t>
      </w:r>
      <w:r>
        <w:br/>
      </w:r>
      <w:r>
        <w:rPr>
          <w:rStyle w:val="VerbatimChar"/>
        </w:rPr>
        <w:t xml:space="preserve">Entrada:  {X̂_s(t+k), σ̂_{s,k}}_{s,k}, estado de red ψ(t), parámetros operacionales</w:t>
      </w:r>
      <w:r>
        <w:br/>
      </w:r>
      <w:r>
        <w:rPr>
          <w:rStyle w:val="VerbatimChar"/>
        </w:rPr>
        <w:t xml:space="preserve">Salida:   Plan de recursos {x*(t+k)}_{k=1}^τ y señales de pre-activación</w:t>
      </w:r>
      <w:r>
        <w:br/>
      </w:r>
      <w:r>
        <w:br/>
      </w:r>
      <w:r>
        <w:rPr>
          <w:rStyle w:val="VerbatimChar"/>
        </w:rPr>
        <w:t xml:space="preserve">Paso 1: Construcción del problema de optimización</w:t>
      </w:r>
      <w:r>
        <w:br/>
      </w:r>
      <w:r>
        <w:rPr>
          <w:rStyle w:val="VerbatimChar"/>
        </w:rPr>
        <w:t xml:space="preserve">  1.1  Variables: x_s^PRB(t+k) ∈ ℤ≥0, p_s(t+k) ∈ [0, P_s^max] para todo s,k</w:t>
      </w:r>
      <w:r>
        <w:br/>
      </w:r>
      <w:r>
        <w:rPr>
          <w:rStyle w:val="VerbatimChar"/>
        </w:rPr>
        <w:t xml:space="preserve">  1.2  Calcular margen robusto (Ec. 39):</w:t>
      </w:r>
      <w:r>
        <w:br/>
      </w:r>
      <w:r>
        <w:rPr>
          <w:rStyle w:val="VerbatimChar"/>
        </w:rPr>
        <w:t xml:space="preserve">       margin_k = √(χ²_S(0.95)) · ||diag(σ̂_{1,k},...,σ̂_{S,k}) · diag(r^max)⁻¹||₂</w:t>
      </w:r>
      <w:r>
        <w:br/>
      </w:r>
      <w:r>
        <w:rPr>
          <w:rStyle w:val="VerbatimChar"/>
        </w:rPr>
        <w:t xml:space="preserve">  1.3  Función objetivo (Ec. 32): pesos γ^(k-1) con γ=0.95, balance α=0.6</w:t>
      </w:r>
      <w:r>
        <w:br/>
      </w:r>
      <w:r>
        <w:br/>
      </w:r>
      <w:r>
        <w:rPr>
          <w:rStyle w:val="VerbatimChar"/>
        </w:rPr>
        <w:t xml:space="preserve">Paso 2: Verificación de pre-activación de celdas</w:t>
      </w:r>
      <w:r>
        <w:br/>
      </w:r>
      <w:r>
        <w:rPr>
          <w:rStyle w:val="VerbatimChar"/>
        </w:rPr>
        <w:t xml:space="preserve">  Para cada celda c en sleep mode en vecindad:</w:t>
      </w:r>
      <w:r>
        <w:br/>
      </w:r>
      <w:r>
        <w:rPr>
          <w:rStyle w:val="VerbatimChar"/>
        </w:rPr>
        <w:t xml:space="preserve">    2.1  Si X̂_c(t+k) &gt; μ_c^active + κ·σ_c (Ec. 41) para algún k ≤ k_wakeup:</w:t>
      </w:r>
      <w:r>
        <w:br/>
      </w:r>
      <w:r>
        <w:rPr>
          <w:rStyle w:val="VerbatimChar"/>
        </w:rPr>
        <w:t xml:space="preserve">         Programar activación en t + max(1, k - k_wakeup)</w:t>
      </w:r>
      <w:r>
        <w:br/>
      </w:r>
      <w:r>
        <w:rPr>
          <w:rStyle w:val="VerbatimChar"/>
        </w:rPr>
        <w:t xml:space="preserve">    2.2  Reservar: N_PRB^reserved(c) = min(N_PRB^max(c), ⌈X̂_c(t+1)/r_c^max⌉ · 1.1)</w:t>
      </w:r>
      <w:r>
        <w:br/>
      </w:r>
      <w:r>
        <w:br/>
      </w:r>
      <w:r>
        <w:rPr>
          <w:rStyle w:val="VerbatimChar"/>
        </w:rPr>
        <w:t xml:space="preserve">Paso 3: Resolución del problema de optimización</w:t>
      </w:r>
      <w:r>
        <w:br/>
      </w:r>
      <w:r>
        <w:rPr>
          <w:rStyle w:val="VerbatimChar"/>
        </w:rPr>
        <w:t xml:space="preserve">  3.1  Verificar si dimensión(x) &lt; 200: usar LP/ILP con solver Gurobi (&lt; 5ms)</w:t>
      </w:r>
      <w:r>
        <w:br/>
      </w:r>
      <w:r>
        <w:rPr>
          <w:rStyle w:val="VerbatimChar"/>
        </w:rPr>
        <w:t xml:space="preserve">  3.2  Si dim(x) ≥ 200: aplicar ADMM descompuesto por slice (Ec. 40, M=50 escenarios)</w:t>
      </w:r>
      <w:r>
        <w:br/>
      </w:r>
      <w:r>
        <w:rPr>
          <w:rStyle w:val="VerbatimChar"/>
        </w:rPr>
        <w:t xml:space="preserve">       Para iteración ρ=1,...,200:</w:t>
      </w:r>
      <w:r>
        <w:br/>
      </w:r>
      <w:r>
        <w:rPr>
          <w:rStyle w:val="VerbatimChar"/>
        </w:rPr>
        <w:t xml:space="preserve">         a) Actualizar x_s localmente (subproblema por slice)</w:t>
      </w:r>
      <w:r>
        <w:br/>
      </w:r>
      <w:r>
        <w:rPr>
          <w:rStyle w:val="VerbatimChar"/>
        </w:rPr>
        <w:t xml:space="preserve">         b) Actualizar multiplicadores duales globales</w:t>
      </w:r>
      <w:r>
        <w:br/>
      </w:r>
      <w:r>
        <w:rPr>
          <w:rStyle w:val="VerbatimChar"/>
        </w:rPr>
        <w:t xml:space="preserve">         c) Si ||residual_primal||₂ &lt; 10⁻⁴ y ||residual_dual||₂ &lt; 10⁻⁴: converger</w:t>
      </w:r>
      <w:r>
        <w:br/>
      </w:r>
      <w:r>
        <w:rPr>
          <w:rStyle w:val="VerbatimChar"/>
        </w:rPr>
        <w:t xml:space="preserve">  3.3  Si no converge en 200 iteraciones: usar heurística de reparto proporcional</w:t>
      </w:r>
      <w:r>
        <w:br/>
      </w:r>
      <w:r>
        <w:rPr>
          <w:rStyle w:val="VerbatimChar"/>
        </w:rPr>
        <w:t xml:space="preserve">       x_s^PRB(t+k) = ⌈N_PRB · X̂_s(t+k) / Σ_s X̂_s(t+k)⌉, verificar factibilidad</w:t>
      </w:r>
      <w:r>
        <w:br/>
      </w:r>
      <w:r>
        <w:br/>
      </w:r>
      <w:r>
        <w:rPr>
          <w:rStyle w:val="VerbatimChar"/>
        </w:rPr>
        <w:t xml:space="preserve">Paso 4: Adaptación dinámica de slices (Ec. 42)</w:t>
      </w:r>
      <w:r>
        <w:br/>
      </w:r>
      <w:r>
        <w:rPr>
          <w:rStyle w:val="VerbatimChar"/>
        </w:rPr>
        <w:t xml:space="preserve">  Para cada slice s:</w:t>
      </w:r>
      <w:r>
        <w:br/>
      </w:r>
      <w:r>
        <w:rPr>
          <w:rStyle w:val="VerbatimChar"/>
        </w:rPr>
        <w:t xml:space="preserve">    4.1  ΔR_s = ρ · [X̂_s(t+1) - X̂_s(t)]⁺ - η · R_s^excess(t); ρ=1.2, η=0.5</w:t>
      </w:r>
      <w:r>
        <w:br/>
      </w:r>
      <w:r>
        <w:rPr>
          <w:rStyle w:val="VerbatimChar"/>
        </w:rPr>
        <w:t xml:space="preserve">    4.2  R_s(t+1) = clip(R_s(t) + ΔR_s, R_s^min, R_s^max); verificar SLA</w:t>
      </w:r>
      <w:r>
        <w:br/>
      </w:r>
      <w:r>
        <w:br/>
      </w:r>
      <w:r>
        <w:rPr>
          <w:rStyle w:val="VerbatimChar"/>
        </w:rPr>
        <w:t xml:space="preserve">Paso 5: Validación mediante modelo de bloqueo Erlang-B</w:t>
      </w:r>
      <w:r>
        <w:br/>
      </w:r>
      <w:r>
        <w:rPr>
          <w:rStyle w:val="VerbatimChar"/>
        </w:rPr>
        <w:t xml:space="preserve">  5.1  Calcular P_blocking^(s)(t+k) = Erlang_B(x_s^PRB·r_s^max, X̂_s(t+k))</w:t>
      </w:r>
      <w:r>
        <w:br/>
      </w:r>
      <w:r>
        <w:rPr>
          <w:rStyle w:val="VerbatimChar"/>
        </w:rPr>
        <w:t xml:space="preserve">  5.2  Si P_blocking^(s) &gt; 0.001 (SLA URLLC): incrementar x_s^PRB en 5%, re-verificar</w:t>
      </w:r>
      <w:r>
        <w:br/>
      </w:r>
      <w:r>
        <w:rPr>
          <w:rStyle w:val="VerbatimChar"/>
        </w:rPr>
        <w:t xml:space="preserve">  5.3  Máximo 3 iteraciones de ajuste; si persiste: escalar P_blocking en log</w:t>
      </w:r>
      <w:r>
        <w:br/>
      </w:r>
      <w:r>
        <w:br/>
      </w:r>
      <w:r>
        <w:rPr>
          <w:rStyle w:val="VerbatimChar"/>
        </w:rPr>
        <w:t xml:space="preserve">Paso 6: Emisión de instrucciones y retroalimentación</w:t>
      </w:r>
      <w:r>
        <w:br/>
      </w:r>
      <w:r>
        <w:rPr>
          <w:rStyle w:val="VerbatimChar"/>
        </w:rPr>
        <w:t xml:space="preserve">  6.1  Enviar plan {x*(t+k)}_{k=1}^τ a controladores de celda via A1/O1 interface</w:t>
      </w:r>
      <w:r>
        <w:br/>
      </w:r>
      <w:r>
        <w:rPr>
          <w:rStyle w:val="VerbatimChar"/>
        </w:rPr>
        <w:t xml:space="preserve">  6.2  Registrar en base temporal: x*(t), X̂(t+1:τ), ψ(t), márgenes robustos</w:t>
      </w:r>
      <w:r>
        <w:br/>
      </w:r>
      <w:r>
        <w:rPr>
          <w:rStyle w:val="VerbatimChar"/>
        </w:rPr>
        <w:t xml:space="preserve">  6.3  Al recibir d(t+k) real: calcular error de seguimiento, actualizar σ̂_k</w:t>
      </w:r>
    </w:p>
    <w:bookmarkEnd w:id="51"/>
    <w:bookmarkStart w:id="52" w:name="Xf425bf8507eec812021d32c4789d44f9b7e5003"/>
    <w:p>
      <w:pPr>
        <w:pStyle w:val="Heading3"/>
      </w:pPr>
      <w:r>
        <w:t xml:space="preserve">D. Algoritmo 4: Actualización Online con Detección de Deriva</w:t>
      </w:r>
    </w:p>
    <w:p>
      <w:pPr>
        <w:pStyle w:val="SourceCode"/>
      </w:pPr>
      <w:r>
        <w:rPr>
          <w:rStyle w:val="VerbatimChar"/>
        </w:rPr>
        <w:t xml:space="preserve">Algoritmo 4: Actualización Online del Modelo con Detección de Deriva CUSUM</w:t>
      </w:r>
      <w:r>
        <w:br/>
      </w:r>
      <w:r>
        <w:rPr>
          <w:rStyle w:val="VerbatimChar"/>
        </w:rPr>
        <w:t xml:space="preserve">Entrada:  θ_t, buffer de observaciones recientes W_t, umbrales {Δ_thresh, N_confirm}</w:t>
      </w:r>
      <w:r>
        <w:br/>
      </w:r>
      <w:r>
        <w:rPr>
          <w:rStyle w:val="VerbatimChar"/>
        </w:rPr>
        <w:t xml:space="preserve">Salida:   Modelo actualizado θ_{t+1}</w:t>
      </w:r>
      <w:r>
        <w:br/>
      </w:r>
      <w:r>
        <w:br/>
      </w:r>
      <w:r>
        <w:rPr>
          <w:rStyle w:val="VerbatimChar"/>
        </w:rPr>
        <w:t xml:space="preserve">Paso 1: Monitoreo continuo del error de predicción</w:t>
      </w:r>
      <w:r>
        <w:br/>
      </w:r>
      <w:r>
        <w:rPr>
          <w:rStyle w:val="VerbatimChar"/>
        </w:rPr>
        <w:t xml:space="preserve">  1.1  e(t) = |X(t) - X̂(t)|; ē(t) = λ·ē(t-1) + (1-λ)·e(t), λ=0.95</w:t>
      </w:r>
      <w:r>
        <w:br/>
      </w:r>
      <w:r>
        <w:rPr>
          <w:rStyle w:val="VerbatimChar"/>
        </w:rPr>
        <w:t xml:space="preserve">  1.2  Desviación relativa: Δ(t) = (ē(t) - ē_base) / max(ē_base, ε)</w:t>
      </w:r>
      <w:r>
        <w:br/>
      </w:r>
      <w:r>
        <w:rPr>
          <w:rStyle w:val="VerbatimChar"/>
        </w:rPr>
        <w:t xml:space="preserve">  1.3  Estadístico CUSUM: S(t) = max(0, S(t-1) + e(t) - μ_e - κ·σ_e)</w:t>
      </w:r>
      <w:r>
        <w:br/>
      </w:r>
      <w:r>
        <w:br/>
      </w:r>
      <w:r>
        <w:rPr>
          <w:rStyle w:val="VerbatimChar"/>
        </w:rPr>
        <w:t xml:space="preserve">Paso 2: Detección de deriva (concept drift)</w:t>
      </w:r>
      <w:r>
        <w:br/>
      </w:r>
      <w:r>
        <w:rPr>
          <w:rStyle w:val="VerbatimChar"/>
        </w:rPr>
        <w:t xml:space="preserve">  2.1  Alarma si S(t) &gt; 5·σ_e; confirmar si persiste N_confirm=12 pasos (3 horas)</w:t>
      </w:r>
      <w:r>
        <w:br/>
      </w:r>
      <w:r>
        <w:rPr>
          <w:rStyle w:val="VerbatimChar"/>
        </w:rPr>
        <w:t xml:space="preserve">  2.2  Calcular severidad: leve (Δ&lt;0.1), moderada (0.1≤Δ&lt;0.3), severa (Δ≥0.3)</w:t>
      </w:r>
      <w:r>
        <w:br/>
      </w:r>
      <w:r>
        <w:br/>
      </w:r>
      <w:r>
        <w:rPr>
          <w:rStyle w:val="VerbatimChar"/>
        </w:rPr>
        <w:t xml:space="preserve">Paso 3: Estrategia de actualización según severidad</w:t>
      </w:r>
      <w:r>
        <w:br/>
      </w:r>
      <w:r>
        <w:rPr>
          <w:rStyle w:val="VerbatimChar"/>
        </w:rPr>
        <w:t xml:space="preserve">  Sin deriva:</w:t>
      </w:r>
      <w:r>
        <w:br/>
      </w:r>
      <w:r>
        <w:rPr>
          <w:rStyle w:val="VerbatimChar"/>
        </w:rPr>
        <w:t xml:space="preserve">    3.1  Actualización incremental con W_recent (96 muestras = 1 día)</w:t>
      </w:r>
      <w:r>
        <w:br/>
      </w:r>
      <w:r>
        <w:rPr>
          <w:rStyle w:val="VerbatimChar"/>
        </w:rPr>
        <w:t xml:space="preserve">         θ_{t+1} = θ_t - η_online·∇L(W_recent), η_online = 0.01·η₀</w:t>
      </w:r>
      <w:r>
        <w:br/>
      </w:r>
      <w:r>
        <w:rPr>
          <w:rStyle w:val="VerbatimChar"/>
        </w:rPr>
        <w:t xml:space="preserve">  Deriva moderada:</w:t>
      </w:r>
      <w:r>
        <w:br/>
      </w:r>
      <w:r>
        <w:rPr>
          <w:rStyle w:val="VerbatimChar"/>
        </w:rPr>
        <w:t xml:space="preserve">    3.2  Fine-tuning capas 3-5 con W_t (672 muestras = 1 semana), η_ft = 0.1·η₀</w:t>
      </w:r>
      <w:r>
        <w:br/>
      </w:r>
      <w:r>
        <w:rPr>
          <w:rStyle w:val="VerbatimChar"/>
        </w:rPr>
        <w:t xml:space="preserve">         Congelar pesos de capas 1-2 para preservar representaciones de bajo nivel</w:t>
      </w:r>
      <w:r>
        <w:br/>
      </w:r>
      <w:r>
        <w:rPr>
          <w:rStyle w:val="VerbatimChar"/>
        </w:rPr>
        <w:t xml:space="preserve">  Deriva severa:</w:t>
      </w:r>
      <w:r>
        <w:br/>
      </w:r>
      <w:r>
        <w:rPr>
          <w:rStyle w:val="VerbatimChar"/>
        </w:rPr>
        <w:t xml:space="preserve">    3.3  Re-entrenamiento capas 4-5 con W_t (2880 muestras = 1 mes)</w:t>
      </w:r>
      <w:r>
        <w:br/>
      </w:r>
      <w:r>
        <w:rPr>
          <w:rStyle w:val="VerbatimChar"/>
        </w:rPr>
        <w:t xml:space="preserve">         Mantener capas 1-3 congeladas; usar EWC para capas 4-5</w:t>
      </w:r>
      <w:r>
        <w:br/>
      </w:r>
      <w:r>
        <w:br/>
      </w:r>
      <w:r>
        <w:rPr>
          <w:rStyle w:val="VerbatimChar"/>
        </w:rPr>
        <w:t xml:space="preserve">Paso 4: Regularización anti-olvido catastrófico (EWC)</w:t>
      </w:r>
      <w:r>
        <w:br/>
      </w:r>
      <w:r>
        <w:rPr>
          <w:rStyle w:val="VerbatimChar"/>
        </w:rPr>
        <w:t xml:space="preserve">  4.1  Calcular importancia: Ω_i = E[(∂L/∂θ_i)²] sobre W_t</w:t>
      </w:r>
      <w:r>
        <w:br/>
      </w:r>
      <w:r>
        <w:rPr>
          <w:rStyle w:val="VerbatimChar"/>
        </w:rPr>
        <w:t xml:space="preserve">  4.2  Agregar pérdida EWC: L_total = L_pred + (λ_EWC/2)·Σ_i Ω_i·(θ_i - θ_i*)²</w:t>
      </w:r>
      <w:r>
        <w:br/>
      </w:r>
      <w:r>
        <w:rPr>
          <w:rStyle w:val="VerbatimChar"/>
        </w:rPr>
        <w:t xml:space="preserve">       con λ_EWC = 100 para alta protección del conocimiento previo</w:t>
      </w:r>
      <w:r>
        <w:br/>
      </w:r>
      <w:r>
        <w:br/>
      </w:r>
      <w:r>
        <w:rPr>
          <w:rStyle w:val="VerbatimChar"/>
        </w:rPr>
        <w:t xml:space="preserve">Paso 5: Validación con rollback</w:t>
      </w:r>
      <w:r>
        <w:br/>
      </w:r>
      <w:r>
        <w:rPr>
          <w:rStyle w:val="VerbatimChar"/>
        </w:rPr>
        <w:t xml:space="preserve">  5.1  Evaluar θ_{t+1} en W_val (últimas 2 semanas): obtener RMSE_new</w:t>
      </w:r>
      <w:r>
        <w:br/>
      </w:r>
      <w:r>
        <w:rPr>
          <w:rStyle w:val="VerbatimChar"/>
        </w:rPr>
        <w:t xml:space="preserve">  5.2  Si RMSE_new &gt; RMSE_prev · 1.05: revertir θ_{t+1} = θ_t (rollback)</w:t>
      </w:r>
      <w:r>
        <w:br/>
      </w:r>
      <w:r>
        <w:rPr>
          <w:rStyle w:val="VerbatimChar"/>
        </w:rPr>
        <w:t xml:space="preserve">  5.3  Registrar en log: {timestamp, Δ(t), estrategia, RMSE_prev, RMSE_new, acción}</w:t>
      </w:r>
      <w:r>
        <w:br/>
      </w:r>
      <w:r>
        <w:br/>
      </w:r>
      <w:r>
        <w:rPr>
          <w:rStyle w:val="VerbatimChar"/>
        </w:rPr>
        <w:t xml:space="preserve">Paso 6: Recalibración de incertidumbre</w:t>
      </w:r>
      <w:r>
        <w:br/>
      </w:r>
      <w:r>
        <w:rPr>
          <w:rStyle w:val="VerbatimChar"/>
        </w:rPr>
        <w:t xml:space="preserve">  6.1  Reestimar residuales sobre W_t: {r_k(t)} para todos k</w:t>
      </w:r>
      <w:r>
        <w:br/>
      </w:r>
      <w:r>
        <w:rPr>
          <w:rStyle w:val="VerbatimChar"/>
        </w:rPr>
        <w:t xml:space="preserve">  6.2  Actualizar cuantiles q̂_k en Algoritmo 2 y σ̂_k en Algoritmo 3</w:t>
      </w:r>
    </w:p>
    <w:bookmarkEnd w:id="52"/>
    <w:bookmarkStart w:id="53" w:name="X433773b2a1e9a7bed089d388e55fb0da1ffbd5a"/>
    <w:p>
      <w:pPr>
        <w:pStyle w:val="Heading3"/>
      </w:pPr>
      <w:r>
        <w:t xml:space="preserve">E. Algoritmo 5: Optimización Multi-Objetivo con NSGA-II</w:t>
      </w:r>
    </w:p>
    <w:p>
      <w:pPr>
        <w:pStyle w:val="SourceCode"/>
      </w:pPr>
      <w:r>
        <w:rPr>
          <w:rStyle w:val="VerbatimChar"/>
        </w:rPr>
        <w:t xml:space="preserve">Algoritmo 5: Optimización Multi-Objetivo de Recursos (NSGA-II Adaptado)</w:t>
      </w:r>
      <w:r>
        <w:br/>
      </w:r>
      <w:r>
        <w:rPr>
          <w:rStyle w:val="VerbatimChar"/>
        </w:rPr>
        <w:t xml:space="preserve">Entrada:  {f_1: costo capacidad, f_2: consumo energético, f_3: latencia máxima}</w:t>
      </w:r>
      <w:r>
        <w:br/>
      </w:r>
      <w:r>
        <w:rPr>
          <w:rStyle w:val="VerbatimChar"/>
        </w:rPr>
        <w:t xml:space="preserve">          restricciones (Ecs. 33-37), predicciones {X̂_s(t+k)}, N_pop=50, N_gen=100</w:t>
      </w:r>
      <w:r>
        <w:br/>
      </w:r>
      <w:r>
        <w:rPr>
          <w:rStyle w:val="VerbatimChar"/>
        </w:rPr>
        <w:t xml:space="preserve">Salida:   Frente de Pareto P*, solución operacional seleccionada x_op</w:t>
      </w:r>
      <w:r>
        <w:br/>
      </w:r>
      <w:r>
        <w:br/>
      </w:r>
      <w:r>
        <w:rPr>
          <w:rStyle w:val="VerbatimChar"/>
        </w:rPr>
        <w:t xml:space="preserve">Paso 1: Inicialización de la población</w:t>
      </w:r>
      <w:r>
        <w:br/>
      </w:r>
      <w:r>
        <w:rPr>
          <w:rStyle w:val="VerbatimChar"/>
        </w:rPr>
        <w:t xml:space="preserve">  1.1  Generar N_pop soluciones factibles: x^(i) = reparto_proporcional + ruido</w:t>
      </w:r>
      <w:r>
        <w:br/>
      </w:r>
      <w:r>
        <w:rPr>
          <w:rStyle w:val="VerbatimChar"/>
        </w:rPr>
        <w:t xml:space="preserve">  1.2  Proyectar sobre X (verificar Ecs. 33-37, reparar si necesario)</w:t>
      </w:r>
      <w:r>
        <w:br/>
      </w:r>
      <w:r>
        <w:rPr>
          <w:rStyle w:val="VerbatimChar"/>
        </w:rPr>
        <w:t xml:space="preserve">  1.3  Evaluar F^(i) = [f_1(x^(i)), f_2(x^(i)), f_3(x^(i))]</w:t>
      </w:r>
      <w:r>
        <w:br/>
      </w:r>
      <w:r>
        <w:rPr>
          <w:rStyle w:val="VerbatimChar"/>
        </w:rPr>
        <w:t xml:space="preserve">  1.4  Clasificar por dominancia de Pareto; calcular distancia de crowding</w:t>
      </w:r>
      <w:r>
        <w:br/>
      </w:r>
      <w:r>
        <w:br/>
      </w:r>
      <w:r>
        <w:rPr>
          <w:rStyle w:val="VerbatimChar"/>
        </w:rPr>
        <w:t xml:space="preserve">Paso 2: Evolución durante N_gen generaciones</w:t>
      </w:r>
      <w:r>
        <w:br/>
      </w:r>
      <w:r>
        <w:rPr>
          <w:rStyle w:val="VerbatimChar"/>
        </w:rPr>
        <w:t xml:space="preserve">  Para gen = 1,...,N_gen:</w:t>
      </w:r>
      <w:r>
        <w:br/>
      </w:r>
      <w:r>
        <w:rPr>
          <w:rStyle w:val="VerbatimChar"/>
        </w:rPr>
        <w:t xml:space="preserve">    2.1  Selección por torneo binario (rango dominancia + crowding distance)</w:t>
      </w:r>
      <w:r>
        <w:br/>
      </w:r>
      <w:r>
        <w:rPr>
          <w:rStyle w:val="VerbatimChar"/>
        </w:rPr>
        <w:t xml:space="preserve">    2.2  Cruce SBX: x^child = 0.5[(1+β)x^p1 + (1-β)x^p2],</w:t>
      </w:r>
      <w:r>
        <w:br/>
      </w:r>
      <w:r>
        <w:rPr>
          <w:rStyle w:val="VerbatimChar"/>
        </w:rPr>
        <w:t xml:space="preserve">         β ~ distribución SBX con η_c=15</w:t>
      </w:r>
      <w:r>
        <w:br/>
      </w:r>
      <w:r>
        <w:rPr>
          <w:rStyle w:val="VerbatimChar"/>
        </w:rPr>
        <w:t xml:space="preserve">    2.3  Mutación polinomial: p_m = 1/dim(x), η_m=20</w:t>
      </w:r>
      <w:r>
        <w:br/>
      </w:r>
      <w:r>
        <w:rPr>
          <w:rStyle w:val="VerbatimChar"/>
        </w:rPr>
        <w:t xml:space="preserve">    2.4  Reparación de factibilidad: proyección sobre X mediante ajuste proporcional</w:t>
      </w:r>
      <w:r>
        <w:br/>
      </w:r>
      <w:r>
        <w:rPr>
          <w:rStyle w:val="VerbatimChar"/>
        </w:rPr>
        <w:t xml:space="preserve">    2.5  Evaluar objetivos hijos; combinar padres+hijos (2·N_pop)</w:t>
      </w:r>
      <w:r>
        <w:br/>
      </w:r>
      <w:r>
        <w:rPr>
          <w:rStyle w:val="VerbatimChar"/>
        </w:rPr>
        <w:t xml:space="preserve">    2.6  Seleccionar N_pop mejores: clasificar por dominancia + crowding</w:t>
      </w:r>
      <w:r>
        <w:br/>
      </w:r>
      <w:r>
        <w:br/>
      </w:r>
      <w:r>
        <w:rPr>
          <w:rStyle w:val="VerbatimChar"/>
        </w:rPr>
        <w:t xml:space="preserve">Paso 3: Extracción del frente de Pareto</w:t>
      </w:r>
      <w:r>
        <w:br/>
      </w:r>
      <w:r>
        <w:rPr>
          <w:rStyle w:val="VerbatimChar"/>
        </w:rPr>
        <w:t xml:space="preserve">  3.1  P* = {x no dominado en población final}; calcular hipervolumen como métrica</w:t>
      </w:r>
      <w:r>
        <w:br/>
      </w:r>
      <w:r>
        <w:rPr>
          <w:rStyle w:val="VerbatimChar"/>
        </w:rPr>
        <w:t xml:space="preserve">  3.2  Normalizar objetivos a [0,1] en P* para comparación</w:t>
      </w:r>
      <w:r>
        <w:br/>
      </w:r>
      <w:r>
        <w:br/>
      </w:r>
      <w:r>
        <w:rPr>
          <w:rStyle w:val="VerbatimChar"/>
        </w:rPr>
        <w:t xml:space="preserve">Paso 4: Selección de solución operacional según modo de red</w:t>
      </w:r>
      <w:r>
        <w:br/>
      </w:r>
      <w:r>
        <w:rPr>
          <w:rStyle w:val="VerbatimChar"/>
        </w:rPr>
        <w:t xml:space="preserve">  Modo normal: x_op = argmin_{x∈P*} f_1(x) + λ_E·f_2(x) s.t. f_3(x) ≤ ℓ^max</w:t>
      </w:r>
      <w:r>
        <w:br/>
      </w:r>
      <w:r>
        <w:rPr>
          <w:rStyle w:val="VerbatimChar"/>
        </w:rPr>
        <w:t xml:space="preserve">  Modo alta demanda: x_op = argmin_{x∈P*} f_3(x) (minimizar latencia)</w:t>
      </w:r>
      <w:r>
        <w:br/>
      </w:r>
      <w:r>
        <w:rPr>
          <w:rStyle w:val="VerbatimChar"/>
        </w:rPr>
        <w:t xml:space="preserve">  Modo ahorro energético: x_op = argmin_{x∈P*} f_2(x) s.t. f_3(x) ≤ ℓ^max</w:t>
      </w:r>
    </w:p>
    <w:p>
      <w:r>
        <w:pict>
          <v:rect style="width:0;height:1.5pt" o:hralign="center" o:hrstd="t" o:hr="t"/>
        </w:pict>
      </w:r>
    </w:p>
    <w:bookmarkEnd w:id="53"/>
    <w:bookmarkEnd w:id="54"/>
    <w:bookmarkStart w:id="62" w:name="vii-evaluación-de-desempeño-y-resultados"/>
    <w:p>
      <w:pPr>
        <w:pStyle w:val="Heading2"/>
      </w:pPr>
      <w:r>
        <w:t xml:space="preserve">VII. EVALUACIÓN DE DESEMPEÑO Y RESULTADOS</w:t>
      </w:r>
    </w:p>
    <w:bookmarkStart w:id="55" w:name="a-configuración-experimental"/>
    <w:p>
      <w:pPr>
        <w:pStyle w:val="Heading3"/>
      </w:pPr>
      <w:r>
        <w:t xml:space="preserve">A. Configuración Experimental</w:t>
      </w:r>
    </w:p>
    <w:p>
      <w:pPr>
        <w:pStyle w:val="FirstParagraph"/>
      </w:pPr>
      <w:r>
        <w:t xml:space="preserve">Los experimentos se realizan sobre los tres datasets descritos en la Sección III usando una implementación en PyTorch 2.0 con CUDA 11.8. La configuración del LSTM propuesto comprende:</w:t>
      </w:r>
      <w:r>
        <w:t xml:space="preserve"> </w:t>
      </w:r>
      <m:oMath>
        <m:sSub>
          <m:e>
            <m:r>
              <m:t>d</m:t>
            </m:r>
          </m:e>
          <m:sub>
            <m:r>
              <m:t>h</m:t>
            </m:r>
          </m:sub>
        </m:sSub>
        <m:r>
          <m:rPr>
            <m:sty m:val="p"/>
          </m:rPr>
          <m:t>=</m:t>
        </m:r>
        <m:r>
          <m:t>256</m:t>
        </m:r>
      </m:oMath>
      <w:r>
        <w:t xml:space="preserve"> </w:t>
      </w:r>
      <w:r>
        <w:t xml:space="preserve">unidades en encoder/decoder,</w:t>
      </w:r>
      <w:r>
        <w:t xml:space="preserve"> </w:t>
      </w:r>
      <m:oMath>
        <m:sSub>
          <m:e>
            <m:r>
              <m:t>d</m:t>
            </m:r>
          </m:e>
          <m:sub>
            <m:r>
              <m:t>h</m:t>
            </m:r>
          </m:sub>
        </m:sSub>
        <m:r>
          <m:rPr>
            <m:sty m:val="p"/>
          </m:rPr>
          <m:t>=</m:t>
        </m:r>
        <m:r>
          <m:t>128</m:t>
        </m:r>
      </m:oMath>
      <w:r>
        <w:t xml:space="preserve"> </w:t>
      </w:r>
      <w:r>
        <w:t xml:space="preserve">por rama multi-resolución,</w:t>
      </w:r>
      <w:r>
        <w:t xml:space="preserve"> </w:t>
      </w:r>
      <m:oMath>
        <m:sSub>
          <m:e>
            <m:r>
              <m:t>d</m:t>
            </m:r>
          </m:e>
          <m:sub>
            <m:r>
              <m:t>a</m:t>
            </m:r>
          </m:sub>
        </m:sSub>
        <m:r>
          <m:rPr>
            <m:sty m:val="p"/>
          </m:rPr>
          <m:t>=</m:t>
        </m:r>
        <m:r>
          <m:t>128</m:t>
        </m:r>
      </m:oMath>
      <w:r>
        <w:t xml:space="preserve"> </w:t>
      </w:r>
      <w:r>
        <w:t xml:space="preserve">para el mecanismo de atención, dropout</w:t>
      </w:r>
      <w:r>
        <w:t xml:space="preserve"> </w:t>
      </w:r>
      <m:oMath>
        <m:r>
          <m:t>p</m:t>
        </m:r>
        <m:r>
          <m:rPr>
            <m:sty m:val="p"/>
          </m:rPr>
          <m:t>=</m:t>
        </m:r>
        <m:r>
          <m:t>0.3</m:t>
        </m:r>
      </m:oMath>
      <w:r>
        <w:t xml:space="preserve">, ventana de lookback</w:t>
      </w:r>
      <w:r>
        <w:t xml:space="preserve"> </w:t>
      </w:r>
      <m:oMath>
        <m:r>
          <m:t>w</m:t>
        </m:r>
        <m:r>
          <m:rPr>
            <m:sty m:val="p"/>
          </m:rPr>
          <m:t>=</m:t>
        </m:r>
        <m:r>
          <m:t>96</m:t>
        </m:r>
      </m:oMath>
      <w:r>
        <w:t xml:space="preserve"> </w:t>
      </w:r>
      <w:r>
        <w:t xml:space="preserve">pasos, horizonte de entrenamiento</w:t>
      </w:r>
      <w:r>
        <w:t xml:space="preserve"> </w:t>
      </w:r>
      <m:oMath>
        <m:r>
          <m:t>τ</m:t>
        </m:r>
        <m:r>
          <m:rPr>
            <m:sty m:val="p"/>
          </m:rPr>
          <m:t>=</m:t>
        </m:r>
        <m:r>
          <m:t>24</m:t>
        </m:r>
      </m:oMath>
      <w:r>
        <w:t xml:space="preserve"> </w:t>
      </w:r>
      <w:r>
        <w:t xml:space="preserve">pasos, lotes de tamaño 64, máximo 200 épocas con early stopping (paciencia 40), y regularización</w:t>
      </w:r>
      <w:r>
        <w:t xml:space="preserve"> </w:t>
      </w:r>
      <m:oMath>
        <m:sSub>
          <m:e>
            <m:r>
              <m:t>L</m:t>
            </m:r>
          </m:e>
          <m:sub>
            <m:r>
              <m:t>2</m:t>
            </m:r>
          </m:sub>
        </m:sSub>
      </m:oMath>
      <w:r>
        <w:t xml:space="preserve"> </w:t>
      </w:r>
      <w:r>
        <w:t xml:space="preserve">con</w:t>
      </w:r>
      <w:r>
        <w:t xml:space="preserve"> </w:t>
      </w:r>
      <m:oMath>
        <m:r>
          <m:t>λ</m:t>
        </m:r>
        <m:r>
          <m:rPr>
            <m:sty m:val="p"/>
          </m:rPr>
          <m:t>=</m:t>
        </m:r>
        <m:sSup>
          <m:e>
            <m:r>
              <m:t>10</m:t>
            </m:r>
          </m:e>
          <m:sup>
            <m:r>
              <m:rPr>
                <m:sty m:val="p"/>
              </m:rPr>
              <m:t>−</m:t>
            </m:r>
            <m:r>
              <m:t>4</m:t>
            </m:r>
          </m:sup>
        </m:sSup>
      </m:oMath>
      <w:r>
        <w:t xml:space="preserve">. Los modelos de comparación se ajustan con búsqueda exhaustiva de hiperparámetros sobre el conjunto de validación: ARIMA y SARIMA usando auto.arima [47]; SVR con kernels RBF y polinomial [46]; Random Forest con 100–500 árboles [45]; y los modelos de deep learning con las mismas configuraciones de entrenamiento que el LSTM propuesto para garantizar comparación equitativa. Las métricas de evaluación estándar utilizadas son RMSE, MAE, MAPE (%) y R² [44].</w:t>
      </w:r>
    </w:p>
    <w:bookmarkEnd w:id="55"/>
    <w:bookmarkStart w:id="56" w:name="Xe8c94823b0fed7b2f25a480be8bde14acbbd636"/>
    <w:p>
      <w:pPr>
        <w:pStyle w:val="Heading3"/>
      </w:pPr>
      <w:r>
        <w:t xml:space="preserve">B. Comparación de Precisión con Métodos Alternativos</w:t>
      </w:r>
    </w:p>
    <w:p>
      <w:pPr>
        <w:pStyle w:val="FirstParagraph"/>
      </w:pPr>
      <w:r>
        <w:t xml:space="preserve">La</w:t>
      </w:r>
      <w:r>
        <w:t xml:space="preserve"> </w:t>
      </w:r>
      <w:r>
        <w:rPr>
          <w:bCs/>
          <w:b/>
        </w:rPr>
        <w:t xml:space="preserve">Tabla I</w:t>
      </w:r>
      <w:r>
        <w:t xml:space="preserve"> </w:t>
      </w:r>
      <w:r>
        <w:t xml:space="preserve">presenta los resultados de precisión de predicción para horizonte de 1 hora (</w:t>
      </w:r>
      <m:oMath>
        <m:r>
          <m:t>τ</m:t>
        </m:r>
        <m:r>
          <m:rPr>
            <m:sty m:val="p"/>
          </m:rPr>
          <m:t>=</m:t>
        </m:r>
        <m:r>
          <m:t>24</m:t>
        </m:r>
      </m:oMath>
      <w:r>
        <w:t xml:space="preserve"> </w:t>
      </w:r>
      <w:r>
        <w:t xml:space="preserve">pasos de 15 min) sobre el dataset Milano. El LSTM propuesto alcanza el mejor desempeño en todas las métricas con RMSE=3.89, MAE=2.87, MAPE=8.1% y R²=0.94. La reducción del 15.1% en RMSE respecto al LSTM sin atención (4.58) cuantifica el beneficio específico del mecanismo de atención de Bahdanau. La reducción del 54.8% respecto a ARIMA (8.42) confirma la superioridad de los métodos de deep learning para tráfico no-estacionario. Los métodos estadísticos (ARIMA, SARIMA) exhiben el peor desempeño debido a su incapacidad para modelar no-linealidades y cambios de régimen [47]. SVR y Random Forest muestran desempeño intermedio, limitados por la falta de modelado explícito de dependencias temporales secuenciales [45], [46].</w:t>
      </w:r>
    </w:p>
    <w:p>
      <w:pPr>
        <w:pStyle w:val="BodyText"/>
      </w:pPr>
      <w:r>
        <w:rPr>
          <w:bCs/>
          <w:b/>
        </w:rPr>
        <w:t xml:space="preserve">TABLA I: Comparación de Precisión de Predicción (Horizonte 1 hora, Dataset Milano)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Método</w:t>
            </w:r>
          </w:p>
        </w:tc>
        <w:tc>
          <w:tcPr/>
          <w:p>
            <w:pPr>
              <w:pStyle w:val="Compact"/>
              <w:jc w:val="center"/>
            </w:pPr>
            <w:r>
              <w:t xml:space="preserve">RMSE</w:t>
            </w:r>
          </w:p>
        </w:tc>
        <w:tc>
          <w:tcPr/>
          <w:p>
            <w:pPr>
              <w:pStyle w:val="Compact"/>
              <w:jc w:val="center"/>
            </w:pPr>
            <w:r>
              <w:t xml:space="preserve">MAE</w:t>
            </w:r>
          </w:p>
        </w:tc>
        <w:tc>
          <w:tcPr/>
          <w:p>
            <w:pPr>
              <w:pStyle w:val="Compact"/>
              <w:jc w:val="center"/>
            </w:pPr>
            <w:r>
              <w:t xml:space="preserve">MAPE (%)</w:t>
            </w:r>
          </w:p>
        </w:tc>
        <w:tc>
          <w:tcPr/>
          <w:p>
            <w:pPr>
              <w:pStyle w:val="Compact"/>
              <w:jc w:val="center"/>
            </w:pPr>
            <w:r>
              <w:t xml:space="preserve">R²</w:t>
            </w:r>
          </w:p>
        </w:tc>
      </w:tr>
      <w:tr>
        <w:tc>
          <w:tcPr/>
          <w:p>
            <w:pPr>
              <w:pStyle w:val="Compact"/>
              <w:jc w:val="left"/>
            </w:pPr>
            <w:r>
              <w:t xml:space="preserve">ARIMA [47]</w:t>
            </w:r>
          </w:p>
        </w:tc>
        <w:tc>
          <w:tcPr/>
          <w:p>
            <w:pPr>
              <w:pStyle w:val="Compact"/>
              <w:jc w:val="center"/>
            </w:pPr>
            <w:r>
              <w:t xml:space="preserve">8.42</w:t>
            </w:r>
          </w:p>
        </w:tc>
        <w:tc>
          <w:tcPr/>
          <w:p>
            <w:pPr>
              <w:pStyle w:val="Compact"/>
              <w:jc w:val="center"/>
            </w:pPr>
            <w:r>
              <w:t xml:space="preserve">6.31</w:t>
            </w:r>
          </w:p>
        </w:tc>
        <w:tc>
          <w:tcPr/>
          <w:p>
            <w:pPr>
              <w:pStyle w:val="Compact"/>
              <w:jc w:val="center"/>
            </w:pPr>
            <w:r>
              <w:t xml:space="preserve">18.4</w:t>
            </w:r>
          </w:p>
        </w:tc>
        <w:tc>
          <w:tcPr/>
          <w:p>
            <w:pPr>
              <w:pStyle w:val="Compact"/>
              <w:jc w:val="center"/>
            </w:pPr>
            <w:r>
              <w:t xml:space="preserve">0.72</w:t>
            </w:r>
          </w:p>
        </w:tc>
      </w:tr>
      <w:tr>
        <w:tc>
          <w:tcPr/>
          <w:p>
            <w:pPr>
              <w:pStyle w:val="Compact"/>
              <w:jc w:val="left"/>
            </w:pPr>
            <w:r>
              <w:t xml:space="preserve">SARIMA [47]</w:t>
            </w:r>
          </w:p>
        </w:tc>
        <w:tc>
          <w:tcPr/>
          <w:p>
            <w:pPr>
              <w:pStyle w:val="Compact"/>
              <w:jc w:val="center"/>
            </w:pPr>
            <w:r>
              <w:t xml:space="preserve">7.18</w:t>
            </w:r>
          </w:p>
        </w:tc>
        <w:tc>
          <w:tcPr/>
          <w:p>
            <w:pPr>
              <w:pStyle w:val="Compact"/>
              <w:jc w:val="center"/>
            </w:pPr>
            <w:r>
              <w:t xml:space="preserve">5.44</w:t>
            </w:r>
          </w:p>
        </w:tc>
        <w:tc>
          <w:tcPr/>
          <w:p>
            <w:pPr>
              <w:pStyle w:val="Compact"/>
              <w:jc w:val="center"/>
            </w:pPr>
            <w:r>
              <w:t xml:space="preserve">15.8</w:t>
            </w:r>
          </w:p>
        </w:tc>
        <w:tc>
          <w:tcPr/>
          <w:p>
            <w:pPr>
              <w:pStyle w:val="Compact"/>
              <w:jc w:val="center"/>
            </w:pPr>
            <w:r>
              <w:t xml:space="preserve">0.78</w:t>
            </w:r>
          </w:p>
        </w:tc>
      </w:tr>
      <w:tr>
        <w:tc>
          <w:tcPr/>
          <w:p>
            <w:pPr>
              <w:pStyle w:val="Compact"/>
              <w:jc w:val="left"/>
            </w:pPr>
            <w:r>
              <w:t xml:space="preserve">SVR [46]</w:t>
            </w:r>
          </w:p>
        </w:tc>
        <w:tc>
          <w:tcPr/>
          <w:p>
            <w:pPr>
              <w:pStyle w:val="Compact"/>
              <w:jc w:val="center"/>
            </w:pPr>
            <w:r>
              <w:t xml:space="preserve">6.95</w:t>
            </w:r>
          </w:p>
        </w:tc>
        <w:tc>
          <w:tcPr/>
          <w:p>
            <w:pPr>
              <w:pStyle w:val="Compact"/>
              <w:jc w:val="center"/>
            </w:pPr>
            <w:r>
              <w:t xml:space="preserve">5.12</w:t>
            </w:r>
          </w:p>
        </w:tc>
        <w:tc>
          <w:tcPr/>
          <w:p>
            <w:pPr>
              <w:pStyle w:val="Compact"/>
              <w:jc w:val="center"/>
            </w:pPr>
            <w:r>
              <w:t xml:space="preserve">14.6</w:t>
            </w:r>
          </w:p>
        </w:tc>
        <w:tc>
          <w:tcPr/>
          <w:p>
            <w:pPr>
              <w:pStyle w:val="Compact"/>
              <w:jc w:val="center"/>
            </w:pPr>
            <w:r>
              <w:t xml:space="preserve">0.81</w:t>
            </w:r>
          </w:p>
        </w:tc>
      </w:tr>
      <w:tr>
        <w:tc>
          <w:tcPr/>
          <w:p>
            <w:pPr>
              <w:pStyle w:val="Compact"/>
              <w:jc w:val="left"/>
            </w:pPr>
            <w:r>
              <w:t xml:space="preserve">Random Forest [45]</w:t>
            </w:r>
          </w:p>
        </w:tc>
        <w:tc>
          <w:tcPr/>
          <w:p>
            <w:pPr>
              <w:pStyle w:val="Compact"/>
              <w:jc w:val="center"/>
            </w:pPr>
            <w:r>
              <w:t xml:space="preserve">6.52</w:t>
            </w:r>
          </w:p>
        </w:tc>
        <w:tc>
          <w:tcPr/>
          <w:p>
            <w:pPr>
              <w:pStyle w:val="Compact"/>
              <w:jc w:val="center"/>
            </w:pPr>
            <w:r>
              <w:t xml:space="preserve">4.89</w:t>
            </w:r>
          </w:p>
        </w:tc>
        <w:tc>
          <w:tcPr/>
          <w:p>
            <w:pPr>
              <w:pStyle w:val="Compact"/>
              <w:jc w:val="center"/>
            </w:pPr>
            <w:r>
              <w:t xml:space="preserve">13.9</w:t>
            </w:r>
          </w:p>
        </w:tc>
        <w:tc>
          <w:tcPr/>
          <w:p>
            <w:pPr>
              <w:pStyle w:val="Compact"/>
              <w:jc w:val="center"/>
            </w:pPr>
            <w:r>
              <w:t xml:space="preserve">0.83</w:t>
            </w:r>
          </w:p>
        </w:tc>
      </w:tr>
      <w:tr>
        <w:tc>
          <w:tcPr/>
          <w:p>
            <w:pPr>
              <w:pStyle w:val="Compact"/>
              <w:jc w:val="left"/>
            </w:pPr>
            <w:r>
              <w:t xml:space="preserve">Feedforward NN</w:t>
            </w:r>
          </w:p>
        </w:tc>
        <w:tc>
          <w:tcPr/>
          <w:p>
            <w:pPr>
              <w:pStyle w:val="Compact"/>
              <w:jc w:val="center"/>
            </w:pPr>
            <w:r>
              <w:t xml:space="preserve">5.87</w:t>
            </w:r>
          </w:p>
        </w:tc>
        <w:tc>
          <w:tcPr/>
          <w:p>
            <w:pPr>
              <w:pStyle w:val="Compact"/>
              <w:jc w:val="center"/>
            </w:pPr>
            <w:r>
              <w:t xml:space="preserve">4.35</w:t>
            </w:r>
          </w:p>
        </w:tc>
        <w:tc>
          <w:tcPr/>
          <w:p>
            <w:pPr>
              <w:pStyle w:val="Compact"/>
              <w:jc w:val="center"/>
            </w:pPr>
            <w:r>
              <w:t xml:space="preserve">12.1</w:t>
            </w:r>
          </w:p>
        </w:tc>
        <w:tc>
          <w:tcPr/>
          <w:p>
            <w:pPr>
              <w:pStyle w:val="Compact"/>
              <w:jc w:val="center"/>
            </w:pPr>
            <w:r>
              <w:t xml:space="preserve">0.86</w:t>
            </w:r>
          </w:p>
        </w:tc>
      </w:tr>
      <w:tr>
        <w:tc>
          <w:tcPr/>
          <w:p>
            <w:pPr>
              <w:pStyle w:val="Compact"/>
              <w:jc w:val="left"/>
            </w:pPr>
            <w:r>
              <w:t xml:space="preserve">Simple RNN</w:t>
            </w:r>
          </w:p>
        </w:tc>
        <w:tc>
          <w:tcPr/>
          <w:p>
            <w:pPr>
              <w:pStyle w:val="Compact"/>
              <w:jc w:val="center"/>
            </w:pPr>
            <w:r>
              <w:t xml:space="preserve">5.42</w:t>
            </w:r>
          </w:p>
        </w:tc>
        <w:tc>
          <w:tcPr/>
          <w:p>
            <w:pPr>
              <w:pStyle w:val="Compact"/>
              <w:jc w:val="center"/>
            </w:pPr>
            <w:r>
              <w:t xml:space="preserve">3.98</w:t>
            </w:r>
          </w:p>
        </w:tc>
        <w:tc>
          <w:tcPr/>
          <w:p>
            <w:pPr>
              <w:pStyle w:val="Compact"/>
              <w:jc w:val="center"/>
            </w:pPr>
            <w:r>
              <w:t xml:space="preserve">11.3</w:t>
            </w:r>
          </w:p>
        </w:tc>
        <w:tc>
          <w:tcPr/>
          <w:p>
            <w:pPr>
              <w:pStyle w:val="Compact"/>
              <w:jc w:val="center"/>
            </w:pPr>
            <w:r>
              <w:t xml:space="preserve">0.88</w:t>
            </w:r>
          </w:p>
        </w:tc>
      </w:tr>
      <w:tr>
        <w:tc>
          <w:tcPr/>
          <w:p>
            <w:pPr>
              <w:pStyle w:val="Compact"/>
              <w:jc w:val="left"/>
            </w:pPr>
            <w:r>
              <w:t xml:space="preserve">GRU [14]</w:t>
            </w:r>
          </w:p>
        </w:tc>
        <w:tc>
          <w:tcPr/>
          <w:p>
            <w:pPr>
              <w:pStyle w:val="Compact"/>
              <w:jc w:val="center"/>
            </w:pPr>
            <w:r>
              <w:t xml:space="preserve">4.76</w:t>
            </w:r>
          </w:p>
        </w:tc>
        <w:tc>
          <w:tcPr/>
          <w:p>
            <w:pPr>
              <w:pStyle w:val="Compact"/>
              <w:jc w:val="center"/>
            </w:pPr>
            <w:r>
              <w:t xml:space="preserve">3.51</w:t>
            </w:r>
          </w:p>
        </w:tc>
        <w:tc>
          <w:tcPr/>
          <w:p>
            <w:pPr>
              <w:pStyle w:val="Compact"/>
              <w:jc w:val="center"/>
            </w:pPr>
            <w:r>
              <w:t xml:space="preserve">9.8</w:t>
            </w:r>
          </w:p>
        </w:tc>
        <w:tc>
          <w:tcPr/>
          <w:p>
            <w:pPr>
              <w:pStyle w:val="Compact"/>
              <w:jc w:val="center"/>
            </w:pPr>
            <w:r>
              <w:t xml:space="preserve">0.91</w:t>
            </w:r>
          </w:p>
        </w:tc>
      </w:tr>
      <w:tr>
        <w:tc>
          <w:tcPr/>
          <w:p>
            <w:pPr>
              <w:pStyle w:val="Compact"/>
              <w:jc w:val="left"/>
            </w:pPr>
            <w:r>
              <w:t xml:space="preserve">LSTM sin atención [11]</w:t>
            </w:r>
          </w:p>
        </w:tc>
        <w:tc>
          <w:tcPr/>
          <w:p>
            <w:pPr>
              <w:pStyle w:val="Compact"/>
              <w:jc w:val="center"/>
            </w:pPr>
            <w:r>
              <w:t xml:space="preserve">4.58</w:t>
            </w:r>
          </w:p>
        </w:tc>
        <w:tc>
          <w:tcPr/>
          <w:p>
            <w:pPr>
              <w:pStyle w:val="Compact"/>
              <w:jc w:val="center"/>
            </w:pPr>
            <w:r>
              <w:t xml:space="preserve">3.38</w:t>
            </w:r>
          </w:p>
        </w:tc>
        <w:tc>
          <w:tcPr/>
          <w:p>
            <w:pPr>
              <w:pStyle w:val="Compact"/>
              <w:jc w:val="center"/>
            </w:pPr>
            <w:r>
              <w:t xml:space="preserve">9.4</w:t>
            </w:r>
          </w:p>
        </w:tc>
        <w:tc>
          <w:tcPr/>
          <w:p>
            <w:pPr>
              <w:pStyle w:val="Compact"/>
              <w:jc w:val="center"/>
            </w:pPr>
            <w:r>
              <w:t xml:space="preserve">0.92</w:t>
            </w:r>
          </w:p>
        </w:tc>
      </w:tr>
      <w:tr>
        <w:tc>
          <w:tcPr/>
          <w:p>
            <w:pPr>
              <w:pStyle w:val="Compact"/>
              <w:jc w:val="left"/>
            </w:pPr>
            <w:r>
              <w:rPr>
                <w:bCs/>
                <w:b/>
              </w:rPr>
              <w:t xml:space="preserve">LSTM propuesto</w:t>
            </w:r>
          </w:p>
        </w:tc>
        <w:tc>
          <w:tcPr/>
          <w:p>
            <w:pPr>
              <w:pStyle w:val="Compact"/>
              <w:jc w:val="center"/>
            </w:pPr>
            <w:r>
              <w:rPr>
                <w:bCs/>
                <w:b/>
              </w:rPr>
              <w:t xml:space="preserve">3.89</w:t>
            </w:r>
          </w:p>
        </w:tc>
        <w:tc>
          <w:tcPr/>
          <w:p>
            <w:pPr>
              <w:pStyle w:val="Compact"/>
              <w:jc w:val="center"/>
            </w:pPr>
            <w:r>
              <w:rPr>
                <w:bCs/>
                <w:b/>
              </w:rPr>
              <w:t xml:space="preserve">2.87</w:t>
            </w:r>
          </w:p>
        </w:tc>
        <w:tc>
          <w:tcPr/>
          <w:p>
            <w:pPr>
              <w:pStyle w:val="Compact"/>
              <w:jc w:val="center"/>
            </w:pPr>
            <w:r>
              <w:rPr>
                <w:bCs/>
                <w:b/>
              </w:rPr>
              <w:t xml:space="preserve">8.1</w:t>
            </w:r>
          </w:p>
        </w:tc>
        <w:tc>
          <w:tcPr/>
          <w:p>
            <w:pPr>
              <w:pStyle w:val="Compact"/>
              <w:jc w:val="center"/>
            </w:pPr>
            <w:r>
              <w:rPr>
                <w:bCs/>
                <w:b/>
              </w:rPr>
              <w:t xml:space="preserve">0.94</w:t>
            </w:r>
          </w:p>
        </w:tc>
      </w:tr>
    </w:tbl>
    <w:bookmarkEnd w:id="56"/>
    <w:bookmarkStart w:id="57" w:name="X6aebe28ef24122f105c721c1527ee7bad93a7dc"/>
    <w:p>
      <w:pPr>
        <w:pStyle w:val="Heading3"/>
      </w:pPr>
      <w:r>
        <w:t xml:space="preserve">C. Análisis de la Degradación con el Horizonte de Predicción</w:t>
      </w:r>
    </w:p>
    <w:p>
      <w:pPr>
        <w:pStyle w:val="FirstParagraph"/>
      </w:pPr>
      <w:r>
        <w:t xml:space="preserve">La</w:t>
      </w:r>
      <w:r>
        <w:t xml:space="preserve"> </w:t>
      </w:r>
      <w:r>
        <w:rPr>
          <w:bCs/>
          <w:b/>
        </w:rPr>
        <w:t xml:space="preserve">Figura 2</w:t>
      </w:r>
      <w:r>
        <w:t xml:space="preserve"> </w:t>
      </w:r>
      <w:r>
        <w:t xml:space="preserve">cuantifica la degradación del RMSE en función del horizonte temporal para todos los modelos evaluados. La Figura 2 presenta las curvas de RMSE normalizado versus horizonte τ (1–24 pasos, equivalentes a 15 min–6 h) para todos los modelos evaluados. El eje horizontal muestra el horizonte en pasos de tiempo y el eje vertical indica el RMSE normalizado respecto al valor para τ=1. Las curvas revelan diferencias sistemáticas entre categorías de modelos: los métodos estadísticos (ARIMA, SARIMA) exhiben la mayor pendiente de degradación, con RMSE que crece un 180–220% entre τ=1 y τ=24; los métodos de machine learning clásico (SVR, RF) muestran degradación moderada (60–80%); y los modelos de deep learning exhiben la menor degradación (25–45%). El LSTM propuesto mantiene la pendiente más baja a través de todos los horizontes, con RMSE &lt; 5% (valor relativo) para τ ≤ 8 (30 min), validando su eficacia para predicción a mediano plazo con degradación controlada. Esta propiedad es crítica para la gestión proactiva con horizonte de 1 hora.</w:t>
      </w:r>
    </w:p>
    <w:p>
      <w:pPr>
        <w:pStyle w:val="BodyText"/>
      </w:pPr>
      <w:r>
        <w:rPr>
          <w:bCs/>
          <w:b/>
        </w:rPr>
        <w:t xml:space="preserve">Figura 2</w:t>
      </w:r>
      <w:r>
        <w:t xml:space="preserve"> </w:t>
      </w:r>
      <w:r>
        <w:rPr>
          <w:iCs/>
          <w:i/>
        </w:rPr>
        <w:t xml:space="preserve">Fig. 2. RMSE normalizado vs. horizonte de predicción τ (15 min–6 h) para todos los modelos. El LSTM propuesto (verde oscuro) mantiene la menor pendiente de degradación en todos los horizontes.</w:t>
      </w:r>
    </w:p>
    <w:bookmarkEnd w:id="57"/>
    <w:bookmarkStart w:id="58" w:name="X943fada49e127d652e365257bf266d37ec55df7"/>
    <w:p>
      <w:pPr>
        <w:pStyle w:val="Heading3"/>
      </w:pPr>
      <w:r>
        <w:t xml:space="preserve">D. Evaluación Multi-Horizonte del LSTM Propuesto</w:t>
      </w:r>
    </w:p>
    <w:p>
      <w:pPr>
        <w:pStyle w:val="FirstParagraph"/>
      </w:pPr>
      <w:r>
        <w:t xml:space="preserve">La</w:t>
      </w:r>
      <w:r>
        <w:t xml:space="preserve"> </w:t>
      </w:r>
      <w:r>
        <w:rPr>
          <w:bCs/>
          <w:b/>
        </w:rPr>
        <w:t xml:space="preserve">Tabla II</w:t>
      </w:r>
      <w:r>
        <w:t xml:space="preserve"> </w:t>
      </w:r>
      <w:r>
        <w:t xml:space="preserve">evalúa el LSTM propuesto para cuatro horizontes de predicción sobre el dataset Milano. La degradación desde τ=4 (RMSE=2.94, R²=0.97) hasta τ=24 (RMSE=3.89, R²=0.94) es gradual y controlada: el RMSE aumenta en solo 32% al cuadruplicar el horizonte de predicción, mientras que R² se mantiene consistentemente por encima de 0.94. Esta robustez ante el incremento de horizonte es atribuible a la arquitectura Seq2Seq que explota dependencias entre los pasos de predicción consecutivos, y al mecanismo de atención que accede a contexto diario relevante independientemente del horizonte [33], [37].</w:t>
      </w:r>
    </w:p>
    <w:p>
      <w:pPr>
        <w:pStyle w:val="BodyText"/>
      </w:pPr>
      <w:r>
        <w:rPr>
          <w:bCs/>
          <w:b/>
        </w:rPr>
        <w:t xml:space="preserve">TABLA II: Evaluación Multi-Horizonte (LSTM Propuesto, Dataset Milano)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Horizonte (τ)</w:t>
            </w:r>
          </w:p>
        </w:tc>
        <w:tc>
          <w:tcPr/>
          <w:p>
            <w:pPr>
              <w:pStyle w:val="Compact"/>
              <w:jc w:val="center"/>
            </w:pPr>
            <w:r>
              <w:t xml:space="preserve">Duración</w:t>
            </w:r>
          </w:p>
        </w:tc>
        <w:tc>
          <w:tcPr/>
          <w:p>
            <w:pPr>
              <w:pStyle w:val="Compact"/>
              <w:jc w:val="center"/>
            </w:pPr>
            <w:r>
              <w:t xml:space="preserve">RMSE</w:t>
            </w:r>
          </w:p>
        </w:tc>
        <w:tc>
          <w:tcPr/>
          <w:p>
            <w:pPr>
              <w:pStyle w:val="Compact"/>
              <w:jc w:val="center"/>
            </w:pPr>
            <w:r>
              <w:t xml:space="preserve">MAE</w:t>
            </w:r>
          </w:p>
        </w:tc>
        <w:tc>
          <w:tcPr/>
          <w:p>
            <w:pPr>
              <w:pStyle w:val="Compact"/>
              <w:jc w:val="center"/>
            </w:pPr>
            <w:r>
              <w:t xml:space="preserve">MAPE (%)</w:t>
            </w:r>
          </w:p>
        </w:tc>
        <w:tc>
          <w:tcPr/>
          <w:p>
            <w:pPr>
              <w:pStyle w:val="Compact"/>
              <w:jc w:val="center"/>
            </w:pPr>
            <w:r>
              <w:t xml:space="preserve">R²</w:t>
            </w:r>
          </w:p>
        </w:tc>
      </w:tr>
      <w:tr>
        <w:tc>
          <w:tcPr/>
          <w:p>
            <w:pPr>
              <w:pStyle w:val="Compact"/>
              <w:jc w:val="center"/>
            </w:pPr>
            <w:r>
              <w:t xml:space="preserve">τ = 4</w:t>
            </w:r>
          </w:p>
        </w:tc>
        <w:tc>
          <w:tcPr/>
          <w:p>
            <w:pPr>
              <w:pStyle w:val="Compact"/>
              <w:jc w:val="center"/>
            </w:pPr>
            <w:r>
              <w:t xml:space="preserve">15 min</w:t>
            </w:r>
          </w:p>
        </w:tc>
        <w:tc>
          <w:tcPr/>
          <w:p>
            <w:pPr>
              <w:pStyle w:val="Compact"/>
              <w:jc w:val="center"/>
            </w:pPr>
            <w:r>
              <w:t xml:space="preserve">2.94</w:t>
            </w:r>
          </w:p>
        </w:tc>
        <w:tc>
          <w:tcPr/>
          <w:p>
            <w:pPr>
              <w:pStyle w:val="Compact"/>
              <w:jc w:val="center"/>
            </w:pPr>
            <w:r>
              <w:t xml:space="preserve">2.18</w:t>
            </w:r>
          </w:p>
        </w:tc>
        <w:tc>
          <w:tcPr/>
          <w:p>
            <w:pPr>
              <w:pStyle w:val="Compact"/>
              <w:jc w:val="center"/>
            </w:pPr>
            <w:r>
              <w:t xml:space="preserve">6.2</w:t>
            </w:r>
          </w:p>
        </w:tc>
        <w:tc>
          <w:tcPr/>
          <w:p>
            <w:pPr>
              <w:pStyle w:val="Compact"/>
              <w:jc w:val="center"/>
            </w:pPr>
            <w:r>
              <w:t xml:space="preserve">0.97</w:t>
            </w:r>
          </w:p>
        </w:tc>
      </w:tr>
      <w:tr>
        <w:tc>
          <w:tcPr/>
          <w:p>
            <w:pPr>
              <w:pStyle w:val="Compact"/>
              <w:jc w:val="center"/>
            </w:pPr>
            <w:r>
              <w:t xml:space="preserve">τ = 8</w:t>
            </w:r>
          </w:p>
        </w:tc>
        <w:tc>
          <w:tcPr/>
          <w:p>
            <w:pPr>
              <w:pStyle w:val="Compact"/>
              <w:jc w:val="center"/>
            </w:pPr>
            <w:r>
              <w:t xml:space="preserve">30 min</w:t>
            </w:r>
          </w:p>
        </w:tc>
        <w:tc>
          <w:tcPr/>
          <w:p>
            <w:pPr>
              <w:pStyle w:val="Compact"/>
              <w:jc w:val="center"/>
            </w:pPr>
            <w:r>
              <w:t xml:space="preserve">3.41</w:t>
            </w:r>
          </w:p>
        </w:tc>
        <w:tc>
          <w:tcPr/>
          <w:p>
            <w:pPr>
              <w:pStyle w:val="Compact"/>
              <w:jc w:val="center"/>
            </w:pPr>
            <w:r>
              <w:t xml:space="preserve">2.52</w:t>
            </w:r>
          </w:p>
        </w:tc>
        <w:tc>
          <w:tcPr/>
          <w:p>
            <w:pPr>
              <w:pStyle w:val="Compact"/>
              <w:jc w:val="center"/>
            </w:pPr>
            <w:r>
              <w:t xml:space="preserve">7.1</w:t>
            </w:r>
          </w:p>
        </w:tc>
        <w:tc>
          <w:tcPr/>
          <w:p>
            <w:pPr>
              <w:pStyle w:val="Compact"/>
              <w:jc w:val="center"/>
            </w:pPr>
            <w:r>
              <w:t xml:space="preserve">0.96</w:t>
            </w:r>
          </w:p>
        </w:tc>
      </w:tr>
      <w:tr>
        <w:tc>
          <w:tcPr/>
          <w:p>
            <w:pPr>
              <w:pStyle w:val="Compact"/>
              <w:jc w:val="center"/>
            </w:pPr>
            <w:r>
              <w:t xml:space="preserve">τ = 12</w:t>
            </w:r>
          </w:p>
        </w:tc>
        <w:tc>
          <w:tcPr/>
          <w:p>
            <w:pPr>
              <w:pStyle w:val="Compact"/>
              <w:jc w:val="center"/>
            </w:pPr>
            <w:r>
              <w:t xml:space="preserve">45 min</w:t>
            </w:r>
          </w:p>
        </w:tc>
        <w:tc>
          <w:tcPr/>
          <w:p>
            <w:pPr>
              <w:pStyle w:val="Compact"/>
              <w:jc w:val="center"/>
            </w:pPr>
            <w:r>
              <w:t xml:space="preserve">3.67</w:t>
            </w:r>
          </w:p>
        </w:tc>
        <w:tc>
          <w:tcPr/>
          <w:p>
            <w:pPr>
              <w:pStyle w:val="Compact"/>
              <w:jc w:val="center"/>
            </w:pPr>
            <w:r>
              <w:t xml:space="preserve">2.71</w:t>
            </w:r>
          </w:p>
        </w:tc>
        <w:tc>
          <w:tcPr/>
          <w:p>
            <w:pPr>
              <w:pStyle w:val="Compact"/>
              <w:jc w:val="center"/>
            </w:pPr>
            <w:r>
              <w:t xml:space="preserve">7.6</w:t>
            </w:r>
          </w:p>
        </w:tc>
        <w:tc>
          <w:tcPr/>
          <w:p>
            <w:pPr>
              <w:pStyle w:val="Compact"/>
              <w:jc w:val="center"/>
            </w:pPr>
            <w:r>
              <w:t xml:space="preserve">0.95</w:t>
            </w:r>
          </w:p>
        </w:tc>
      </w:tr>
      <w:tr>
        <w:tc>
          <w:tcPr/>
          <w:p>
            <w:pPr>
              <w:pStyle w:val="Compact"/>
              <w:jc w:val="center"/>
            </w:pPr>
            <w:r>
              <w:t xml:space="preserve">τ = 24</w:t>
            </w:r>
          </w:p>
        </w:tc>
        <w:tc>
          <w:tcPr/>
          <w:p>
            <w:pPr>
              <w:pStyle w:val="Compact"/>
              <w:jc w:val="center"/>
            </w:pPr>
            <w:r>
              <w:t xml:space="preserve">1 hr</w:t>
            </w:r>
          </w:p>
        </w:tc>
        <w:tc>
          <w:tcPr/>
          <w:p>
            <w:pPr>
              <w:pStyle w:val="Compact"/>
              <w:jc w:val="center"/>
            </w:pPr>
            <w:r>
              <w:t xml:space="preserve">3.89</w:t>
            </w:r>
          </w:p>
        </w:tc>
        <w:tc>
          <w:tcPr/>
          <w:p>
            <w:pPr>
              <w:pStyle w:val="Compact"/>
              <w:jc w:val="center"/>
            </w:pPr>
            <w:r>
              <w:t xml:space="preserve">2.87</w:t>
            </w:r>
          </w:p>
        </w:tc>
        <w:tc>
          <w:tcPr/>
          <w:p>
            <w:pPr>
              <w:pStyle w:val="Compact"/>
              <w:jc w:val="center"/>
            </w:pPr>
            <w:r>
              <w:t xml:space="preserve">8.1</w:t>
            </w:r>
          </w:p>
        </w:tc>
        <w:tc>
          <w:tcPr/>
          <w:p>
            <w:pPr>
              <w:pStyle w:val="Compact"/>
              <w:jc w:val="center"/>
            </w:pPr>
            <w:r>
              <w:t xml:space="preserve">0.94</w:t>
            </w:r>
          </w:p>
        </w:tc>
      </w:tr>
    </w:tbl>
    <w:p>
      <w:pPr>
        <w:pStyle w:val="BodyText"/>
      </w:pPr>
      <w:r>
        <w:t xml:space="preserve">La</w:t>
      </w:r>
      <w:r>
        <w:t xml:space="preserve"> </w:t>
      </w:r>
      <w:r>
        <w:rPr>
          <w:bCs/>
          <w:b/>
        </w:rPr>
        <w:t xml:space="preserve">Figura 3</w:t>
      </w:r>
      <w:r>
        <w:t xml:space="preserve"> </w:t>
      </w:r>
      <w:r>
        <w:t xml:space="preserve">muestra las curvas de convergencia del entrenamiento para los modelos de redes neuronales. La Figura 3 presenta las curvas de pérdida de validación (Huber Loss normalizada) durante el entrenamiento para cuatro modelos de redes neuronales: LSTM propuesto (verde), LSTM sin atención (naranja), GRU (azul) y Feedforward NN (rojo). Líneas sólidas corresponden a pérdida de entrenamiento y líneas discontinuas a pérdida de validación. El LSTM propuesto converge alrededor de la época 85 (detectado por early stopping) con la pérdida de validación más baja (0.031 normalizado). La brecha entre curvas de entrenamiento y validación del LSTM propuesto es mínima (</w:t>
      </w:r>
      <m:oMath>
        <m:r>
          <m:t>Δ</m:t>
        </m:r>
        <m:r>
          <m:t>L</m:t>
        </m:r>
        <m:r>
          <m:rPr>
            <m:sty m:val="p"/>
          </m:rPr>
          <m:t>&lt;</m:t>
        </m:r>
        <m:r>
          <m:t>0.002</m:t>
        </m:r>
      </m:oMath>
      <w:r>
        <w:t xml:space="preserve">), evidenciando excelente generalización gracias a la regularización combinada (dropout +</w:t>
      </w:r>
      <w:r>
        <w:t xml:space="preserve"> </w:t>
      </w:r>
      <m:oMath>
        <m:sSub>
          <m:e>
            <m:r>
              <m:t>L</m:t>
            </m:r>
          </m:e>
          <m:sub>
            <m:r>
              <m:t>2</m:t>
            </m:r>
          </m:sub>
        </m:sSub>
      </m:oMath>
      <w:r>
        <w:t xml:space="preserve"> </w:t>
      </w:r>
      <w:r>
        <w:t xml:space="preserve">+ LayerNorm). El LSTM sin atención converge alrededor de la época 110 con pérdida 23% mayor, mientras que el Feedforward NN muestra mayor overfitting (brecha de validación</w:t>
      </w:r>
      <w:r>
        <w:t xml:space="preserve"> </w:t>
      </w:r>
      <m:oMath>
        <m:r>
          <m:t>Δ</m:t>
        </m:r>
        <m:r>
          <m:t>L</m:t>
        </m:r>
        <m:r>
          <m:rPr>
            <m:sty m:val="p"/>
          </m:rPr>
          <m:t>≈</m:t>
        </m:r>
        <m:r>
          <m:t>0.008</m:t>
        </m:r>
      </m:oMath>
      <w:r>
        <w:t xml:space="preserve">) al no modelar dependencias temporales secuenciales.</w:t>
      </w:r>
    </w:p>
    <w:p>
      <w:pPr>
        <w:pStyle w:val="BodyText"/>
      </w:pPr>
      <w:r>
        <w:rPr>
          <w:bCs/>
          <w:b/>
        </w:rPr>
        <w:t xml:space="preserve">Figura 3</w:t>
      </w:r>
      <w:r>
        <w:t xml:space="preserve"> </w:t>
      </w:r>
      <w:r>
        <w:rPr>
          <w:iCs/>
          <w:i/>
        </w:rPr>
        <w:t xml:space="preserve">Fig. 3. Curvas de convergencia de entrenamiento (sólidas) y validación (discontinuas). LSTM propuesto converge en ~85 épocas con mínima pérdida de validación y gap de generalización (</w:t>
      </w:r>
      <m:oMath>
        <m:r>
          <m:t>Δ</m:t>
        </m:r>
        <m:r>
          <m:t>L</m:t>
        </m:r>
        <m:r>
          <m:rPr>
            <m:sty m:val="p"/>
          </m:rPr>
          <m:t>&lt;</m:t>
        </m:r>
        <m:r>
          <m:t>0.002</m:t>
        </m:r>
      </m:oMath>
      <w:r>
        <w:rPr>
          <w:iCs/>
          <w:i/>
        </w:rPr>
        <w:t xml:space="preserve">).</w:t>
      </w:r>
    </w:p>
    <w:bookmarkEnd w:id="58"/>
    <w:bookmarkStart w:id="59" w:name="e-evaluación-sobre-múltiples-datasets"/>
    <w:p>
      <w:pPr>
        <w:pStyle w:val="Heading3"/>
      </w:pPr>
      <w:r>
        <w:t xml:space="preserve">E. Evaluación sobre Múltiples Datasets</w:t>
      </w:r>
    </w:p>
    <w:p>
      <w:pPr>
        <w:pStyle w:val="FirstParagraph"/>
      </w:pPr>
      <w:r>
        <w:t xml:space="preserve">La</w:t>
      </w:r>
      <w:r>
        <w:t xml:space="preserve"> </w:t>
      </w:r>
      <w:r>
        <w:rPr>
          <w:bCs/>
          <w:b/>
        </w:rPr>
        <w:t xml:space="preserve">Tabla III</w:t>
      </w:r>
      <w:r>
        <w:t xml:space="preserve"> </w:t>
      </w:r>
      <w:r>
        <w:t xml:space="preserve">evalúa la generalización del LSTM propuesto sobre los tres datasets. El modelo mantiene desempeño consistentemente superior al estado del arte con RMSE en el rango 3.52–4.12 y R² ≥ 0.93. El mejor resultado se obtiene en el dataset sintético 5G (RMSE=3.52, R²=0.96), donde los patrones son más regulares y la ausencia de eventos especiales facilita la predicción. El dataset Shanghai Telecom exhibe el mayor RMSE (4.12) debido a su mayor heterogeneidad espacial y la presencia de patrones de tráfico específicos de la zona que no se observan en los datos de entrenamiento de otros datasets. La variación relativa de RMSE entre datasets es del 16.7%, considerablemente menor que la variación de los métodos de comparación (&gt;30%), indicando que la arquitectura multi-resolución con atención proporciona una representación robusta y transferible de los patrones de tráfico.</w:t>
      </w:r>
    </w:p>
    <w:p>
      <w:pPr>
        <w:pStyle w:val="BodyText"/>
      </w:pPr>
      <w:r>
        <w:rPr>
          <w:bCs/>
          <w:b/>
        </w:rPr>
        <w:t xml:space="preserve">TABLA III: Evaluación Multi-Dataset (LSTM Propuesto)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center"/>
            </w:pPr>
            <w:r>
              <w:t xml:space="preserve">RMSE</w:t>
            </w:r>
          </w:p>
        </w:tc>
        <w:tc>
          <w:tcPr/>
          <w:p>
            <w:pPr>
              <w:pStyle w:val="Compact"/>
              <w:jc w:val="center"/>
            </w:pPr>
            <w:r>
              <w:t xml:space="preserve">MAE</w:t>
            </w:r>
          </w:p>
        </w:tc>
        <w:tc>
          <w:tcPr/>
          <w:p>
            <w:pPr>
              <w:pStyle w:val="Compact"/>
              <w:jc w:val="center"/>
            </w:pPr>
            <w:r>
              <w:t xml:space="preserve">MAPE (%)</w:t>
            </w:r>
          </w:p>
        </w:tc>
        <w:tc>
          <w:tcPr/>
          <w:p>
            <w:pPr>
              <w:pStyle w:val="Compact"/>
              <w:jc w:val="center"/>
            </w:pPr>
            <w:r>
              <w:t xml:space="preserve">R²</w:t>
            </w:r>
          </w:p>
        </w:tc>
      </w:tr>
      <w:tr>
        <w:tc>
          <w:tcPr/>
          <w:p>
            <w:pPr>
              <w:pStyle w:val="Compact"/>
              <w:jc w:val="left"/>
            </w:pPr>
            <w:r>
              <w:t xml:space="preserve">Milano (Telecom Italia) [26]</w:t>
            </w:r>
          </w:p>
        </w:tc>
        <w:tc>
          <w:tcPr/>
          <w:p>
            <w:pPr>
              <w:pStyle w:val="Compact"/>
              <w:jc w:val="center"/>
            </w:pPr>
            <w:r>
              <w:t xml:space="preserve">3.89</w:t>
            </w:r>
          </w:p>
        </w:tc>
        <w:tc>
          <w:tcPr/>
          <w:p>
            <w:pPr>
              <w:pStyle w:val="Compact"/>
              <w:jc w:val="center"/>
            </w:pPr>
            <w:r>
              <w:t xml:space="preserve">2.87</w:t>
            </w:r>
          </w:p>
        </w:tc>
        <w:tc>
          <w:tcPr/>
          <w:p>
            <w:pPr>
              <w:pStyle w:val="Compact"/>
              <w:jc w:val="center"/>
            </w:pPr>
            <w:r>
              <w:t xml:space="preserve">8.1</w:t>
            </w:r>
          </w:p>
        </w:tc>
        <w:tc>
          <w:tcPr/>
          <w:p>
            <w:pPr>
              <w:pStyle w:val="Compact"/>
              <w:jc w:val="center"/>
            </w:pPr>
            <w:r>
              <w:t xml:space="preserve">0.94</w:t>
            </w:r>
          </w:p>
        </w:tc>
      </w:tr>
      <w:tr>
        <w:tc>
          <w:tcPr/>
          <w:p>
            <w:pPr>
              <w:pStyle w:val="Compact"/>
              <w:jc w:val="left"/>
            </w:pPr>
            <w:r>
              <w:t xml:space="preserve">Shanghai Telecom [28]</w:t>
            </w:r>
          </w:p>
        </w:tc>
        <w:tc>
          <w:tcPr/>
          <w:p>
            <w:pPr>
              <w:pStyle w:val="Compact"/>
              <w:jc w:val="center"/>
            </w:pPr>
            <w:r>
              <w:t xml:space="preserve">4.12</w:t>
            </w:r>
          </w:p>
        </w:tc>
        <w:tc>
          <w:tcPr/>
          <w:p>
            <w:pPr>
              <w:pStyle w:val="Compact"/>
              <w:jc w:val="center"/>
            </w:pPr>
            <w:r>
              <w:t xml:space="preserve">3.05</w:t>
            </w:r>
          </w:p>
        </w:tc>
        <w:tc>
          <w:tcPr/>
          <w:p>
            <w:pPr>
              <w:pStyle w:val="Compact"/>
              <w:jc w:val="center"/>
            </w:pPr>
            <w:r>
              <w:t xml:space="preserve">8.8</w:t>
            </w:r>
          </w:p>
        </w:tc>
        <w:tc>
          <w:tcPr/>
          <w:p>
            <w:pPr>
              <w:pStyle w:val="Compact"/>
              <w:jc w:val="center"/>
            </w:pPr>
            <w:r>
              <w:t xml:space="preserve">0.93</w:t>
            </w:r>
          </w:p>
        </w:tc>
      </w:tr>
      <w:tr>
        <w:tc>
          <w:tcPr/>
          <w:p>
            <w:pPr>
              <w:pStyle w:val="Compact"/>
              <w:jc w:val="left"/>
            </w:pPr>
            <w:r>
              <w:t xml:space="preserve">Sintético 5G [29]</w:t>
            </w:r>
          </w:p>
        </w:tc>
        <w:tc>
          <w:tcPr/>
          <w:p>
            <w:pPr>
              <w:pStyle w:val="Compact"/>
              <w:jc w:val="center"/>
            </w:pPr>
            <w:r>
              <w:t xml:space="preserve">3.52</w:t>
            </w:r>
          </w:p>
        </w:tc>
        <w:tc>
          <w:tcPr/>
          <w:p>
            <w:pPr>
              <w:pStyle w:val="Compact"/>
              <w:jc w:val="center"/>
            </w:pPr>
            <w:r>
              <w:t xml:space="preserve">2.61</w:t>
            </w:r>
          </w:p>
        </w:tc>
        <w:tc>
          <w:tcPr/>
          <w:p>
            <w:pPr>
              <w:pStyle w:val="Compact"/>
              <w:jc w:val="center"/>
            </w:pPr>
            <w:r>
              <w:t xml:space="preserve">7.4</w:t>
            </w:r>
          </w:p>
        </w:tc>
        <w:tc>
          <w:tcPr/>
          <w:p>
            <w:pPr>
              <w:pStyle w:val="Compact"/>
              <w:jc w:val="center"/>
            </w:pPr>
            <w:r>
              <w:t xml:space="preserve">0.96</w:t>
            </w:r>
          </w:p>
        </w:tc>
      </w:tr>
    </w:tbl>
    <w:p>
      <w:pPr>
        <w:pStyle w:val="BodyText"/>
      </w:pPr>
      <w:r>
        <w:t xml:space="preserve">La</w:t>
      </w:r>
      <w:r>
        <w:t xml:space="preserve"> </w:t>
      </w:r>
      <w:r>
        <w:rPr>
          <w:bCs/>
          <w:b/>
        </w:rPr>
        <w:t xml:space="preserve">Figura 4</w:t>
      </w:r>
      <w:r>
        <w:t xml:space="preserve"> </w:t>
      </w:r>
      <w:r>
        <w:t xml:space="preserve">ilustra los patrones diarios de los tres servicios 5G en el dataset sintético. La Figura 4 muestra los perfiles de tráfico promedio a lo largo de las 24 horas del día para los tres tipos de servicio 5G en el dataset sintético, obtenidos promediando los datos de los 90 días disponibles. El eje horizontal muestra la hora del día (0–23 h) y el eje vertical indica el volumen de tráfico normalizado (0–1). eMBB (azul) exhibe picos marcados durante las horas de mayor actividad humana (~9–11 h y ~19–21 h, valor normalizado</w:t>
      </w:r>
      <w:r>
        <w:t xml:space="preserve"> </w:t>
      </w:r>
      <w:r>
        <w:rPr>
          <w:vertAlign w:val="subscript"/>
        </w:rPr>
        <w:t xml:space="preserve">0.85–0.90), con un valle nocturno profundo (</w:t>
      </w:r>
      <w:r>
        <w:t xml:space="preserve">3 h, valor</w:t>
      </w:r>
      <w:r>
        <w:t xml:space="preserve"> </w:t>
      </w:r>
      <w:r>
        <w:rPr>
          <w:vertAlign w:val="subscript"/>
        </w:rPr>
        <w:t xml:space="preserve">0.08). URLLC (naranja) muestra un patrón más uniforme con nivel sostenido de</w:t>
      </w:r>
      <w:r>
        <w:rPr>
          <w:vertAlign w:val="subscript"/>
        </w:rPr>
        <w:t xml:space="preserve"> </w:t>
      </w:r>
      <w:r>
        <w:rPr>
          <w:vertAlign w:val="subscript"/>
          <w:vertAlign w:val="subscript"/>
        </w:rPr>
        <w:t xml:space="preserve">0.60 durante el horario laboral (8–18 h) y reducción gradual fuera de él, reflejando la demanda crítica de sistemas industriales y de automatización. mMTC (verde) presenta el nivel más bajo y estable (</w:t>
      </w:r>
      <w:r>
        <w:rPr>
          <w:vertAlign w:val="subscript"/>
        </w:rPr>
        <w:t xml:space="preserve">0.15–0.25 durante todo el día), con apenas una leve elevación en horario de negocio (</w:t>
      </w:r>
      <w:r>
        <w:t xml:space="preserve">0.25 a las 10 h). La heterogeneidad temporal entre servicios —con correlaciones muy diferentes entre sí— justifica la necesidad de la arquitectura multi-resolución que puede capturar estas escalas distintas simultáneamente en un único modelo.</w:t>
      </w:r>
    </w:p>
    <w:p>
      <w:pPr>
        <w:pStyle w:val="BodyText"/>
      </w:pPr>
      <w:r>
        <w:rPr>
          <w:bCs/>
          <w:b/>
        </w:rPr>
        <w:t xml:space="preserve">Figura 4</w:t>
      </w:r>
      <w:r>
        <w:t xml:space="preserve"> </w:t>
      </w:r>
      <w:r>
        <w:rPr>
          <w:iCs/>
          <w:i/>
        </w:rPr>
        <w:t xml:space="preserve">Fig. 4. Perfiles diarios promedio de tráfico: eMBB (azul, picos diurnos marcados), URLLC (naranja, uniforme laboral), mMTC (verde, bajo y estable). Dataset sintético 5G, promedio de 90 días.</w:t>
      </w:r>
    </w:p>
    <w:bookmarkEnd w:id="59"/>
    <w:bookmarkStart w:id="60" w:name="Xd60e4b0e9aee00267c72b9c219e93c944c0170c"/>
    <w:p>
      <w:pPr>
        <w:pStyle w:val="Heading3"/>
      </w:pPr>
      <w:r>
        <w:t xml:space="preserve">F. Evaluación de KPIs de Gestión de Recursos</w:t>
      </w:r>
    </w:p>
    <w:p>
      <w:pPr>
        <w:pStyle w:val="FirstParagraph"/>
      </w:pPr>
      <w:r>
        <w:t xml:space="preserve">La</w:t>
      </w:r>
      <w:r>
        <w:t xml:space="preserve"> </w:t>
      </w:r>
      <w:r>
        <w:rPr>
          <w:bCs/>
          <w:b/>
        </w:rPr>
        <w:t xml:space="preserve">Tabla IV</w:t>
      </w:r>
      <w:r>
        <w:t xml:space="preserve"> </w:t>
      </w:r>
      <w:r>
        <w:t xml:space="preserve">compara los KPIs operacionales clave entre la gestión reactiva convencional y la gestión proactiva habilitada por el LSTM propuesto, evaluados mediante simulación de nivel de sistema con el dataset Milano durante el periodo de prueba (últimas 6 semanas). El escenario reactivo emplea el algoritmo de scheduling estándar proporcional a la demanda observada; el escenario proactivo implementa el Algoritmo 3 con horizonte</w:t>
      </w:r>
      <w:r>
        <w:t xml:space="preserve"> </w:t>
      </w:r>
      <m:oMath>
        <m:r>
          <m:t>τ</m:t>
        </m:r>
        <m:r>
          <m:rPr>
            <m:sty m:val="p"/>
          </m:rPr>
          <m:t>=</m:t>
        </m:r>
        <m:r>
          <m:t>24</m:t>
        </m:r>
      </m:oMath>
      <w:r>
        <w:t xml:space="preserve"> </w:t>
      </w:r>
      <w:r>
        <w:t xml:space="preserve">pasos.</w:t>
      </w:r>
    </w:p>
    <w:p>
      <w:pPr>
        <w:pStyle w:val="BodyText"/>
      </w:pPr>
      <w:r>
        <w:rPr>
          <w:bCs/>
          <w:b/>
        </w:rPr>
        <w:t xml:space="preserve">TABLA IV: Comparación de KPIs de Gestión de Recursos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center"/>
            </w:pPr>
            <w:r>
              <w:t xml:space="preserve">Gestión Reactiva</w:t>
            </w:r>
          </w:p>
        </w:tc>
        <w:tc>
          <w:tcPr/>
          <w:p>
            <w:pPr>
              <w:pStyle w:val="Compact"/>
              <w:jc w:val="center"/>
            </w:pPr>
            <w:r>
              <w:t xml:space="preserve">Gestión Proactiva</w:t>
            </w:r>
          </w:p>
        </w:tc>
        <w:tc>
          <w:tcPr/>
          <w:p>
            <w:pPr>
              <w:pStyle w:val="Compact"/>
              <w:jc w:val="center"/>
            </w:pPr>
            <w:r>
              <w:t xml:space="preserve">Mejora</w:t>
            </w:r>
          </w:p>
        </w:tc>
      </w:tr>
      <w:tr>
        <w:tc>
          <w:tcPr/>
          <w:p>
            <w:pPr>
              <w:pStyle w:val="Compact"/>
              <w:jc w:val="left"/>
            </w:pPr>
            <w:r>
              <w:t xml:space="preserve">Tasa de bloqueo</w:t>
            </w:r>
          </w:p>
        </w:tc>
        <w:tc>
          <w:tcPr/>
          <w:p>
            <w:pPr>
              <w:pStyle w:val="Compact"/>
              <w:jc w:val="center"/>
            </w:pPr>
            <w:r>
              <w:t xml:space="preserve">0.0842</w:t>
            </w:r>
          </w:p>
        </w:tc>
        <w:tc>
          <w:tcPr/>
          <w:p>
            <w:pPr>
              <w:pStyle w:val="Compact"/>
              <w:jc w:val="center"/>
            </w:pPr>
            <w:r>
              <w:t xml:space="preserve">0.0498</w:t>
            </w:r>
          </w:p>
        </w:tc>
        <w:tc>
          <w:tcPr/>
          <w:p>
            <w:pPr>
              <w:pStyle w:val="Compact"/>
              <w:jc w:val="center"/>
            </w:pPr>
            <w:r>
              <w:t xml:space="preserve">−40.9%</w:t>
            </w:r>
          </w:p>
        </w:tc>
      </w:tr>
      <w:tr>
        <w:tc>
          <w:tcPr/>
          <w:p>
            <w:pPr>
              <w:pStyle w:val="Compact"/>
              <w:jc w:val="left"/>
            </w:pPr>
            <w:r>
              <w:t xml:space="preserve">Latencia promedio (ms)</w:t>
            </w:r>
          </w:p>
        </w:tc>
        <w:tc>
          <w:tcPr/>
          <w:p>
            <w:pPr>
              <w:pStyle w:val="Compact"/>
              <w:jc w:val="center"/>
            </w:pPr>
            <w:r>
              <w:t xml:space="preserve">42.3</w:t>
            </w:r>
          </w:p>
        </w:tc>
        <w:tc>
          <w:tcPr/>
          <w:p>
            <w:pPr>
              <w:pStyle w:val="Compact"/>
              <w:jc w:val="center"/>
            </w:pPr>
            <w:r>
              <w:t xml:space="preserve">29.1</w:t>
            </w:r>
          </w:p>
        </w:tc>
        <w:tc>
          <w:tcPr/>
          <w:p>
            <w:pPr>
              <w:pStyle w:val="Compact"/>
              <w:jc w:val="center"/>
            </w:pPr>
            <w:r>
              <w:t xml:space="preserve">−31.2%</w:t>
            </w:r>
          </w:p>
        </w:tc>
      </w:tr>
      <w:tr>
        <w:tc>
          <w:tcPr/>
          <w:p>
            <w:pPr>
              <w:pStyle w:val="Compact"/>
              <w:jc w:val="left"/>
            </w:pPr>
            <w:r>
              <w:t xml:space="preserve">Utilización de recursos</w:t>
            </w:r>
          </w:p>
        </w:tc>
        <w:tc>
          <w:tcPr/>
          <w:p>
            <w:pPr>
              <w:pStyle w:val="Compact"/>
              <w:jc w:val="center"/>
            </w:pPr>
            <w:r>
              <w:t xml:space="preserve">0.623</w:t>
            </w:r>
          </w:p>
        </w:tc>
        <w:tc>
          <w:tcPr/>
          <w:p>
            <w:pPr>
              <w:pStyle w:val="Compact"/>
              <w:jc w:val="center"/>
            </w:pPr>
            <w:r>
              <w:t xml:space="preserve">0.761</w:t>
            </w:r>
          </w:p>
        </w:tc>
        <w:tc>
          <w:tcPr/>
          <w:p>
            <w:pPr>
              <w:pStyle w:val="Compact"/>
              <w:jc w:val="center"/>
            </w:pPr>
            <w:r>
              <w:t xml:space="preserve">+22.2%</w:t>
            </w:r>
          </w:p>
        </w:tc>
      </w:tr>
      <w:tr>
        <w:tc>
          <w:tcPr/>
          <w:p>
            <w:pPr>
              <w:pStyle w:val="Compact"/>
              <w:jc w:val="left"/>
            </w:pPr>
            <w:r>
              <w:t xml:space="preserve">Consumo energético (W)</w:t>
            </w:r>
          </w:p>
        </w:tc>
        <w:tc>
          <w:tcPr/>
          <w:p>
            <w:pPr>
              <w:pStyle w:val="Compact"/>
              <w:jc w:val="center"/>
            </w:pPr>
            <w:r>
              <w:t xml:space="preserve">1842</w:t>
            </w:r>
          </w:p>
        </w:tc>
        <w:tc>
          <w:tcPr/>
          <w:p>
            <w:pPr>
              <w:pStyle w:val="Compact"/>
              <w:jc w:val="center"/>
            </w:pPr>
            <w:r>
              <w:t xml:space="preserve">1361</w:t>
            </w:r>
          </w:p>
        </w:tc>
        <w:tc>
          <w:tcPr/>
          <w:p>
            <w:pPr>
              <w:pStyle w:val="Compact"/>
              <w:jc w:val="center"/>
            </w:pPr>
            <w:r>
              <w:t xml:space="preserve">−26.1%</w:t>
            </w:r>
          </w:p>
        </w:tc>
      </w:tr>
    </w:tbl>
    <w:p>
      <w:pPr>
        <w:pStyle w:val="BodyText"/>
      </w:pPr>
      <w:r>
        <w:t xml:space="preserve">La reducción del 40.9% en tasa de bloqueo es el resultado más significativo: la gestión proactiva elimina la mayor parte de los episodios de bloqueo que ocurren durante las transiciones pico-valle, ya que los recursos se asignan con 15–30 minutos de anticipación. La reducción del 31.2% en latencia promedio se debe a la menor congestión de buffers durante periodos de alta demanda bien gestionada. La mejora del 22.2% en utilización de recursos refleja el desplazamiento de la distribución de utilización hacia el rango óptimo (70–80%), reduciendo tanto la sub-utilización (recursos desperdiciados) como la saturación (congestión). La reducción del 26.1% en consumo energético resulta de la pre-activación/desactivación inteligente de celdas y la reducción del tiempo de operación en modo de alta potencia.</w:t>
      </w:r>
    </w:p>
    <w:p>
      <w:pPr>
        <w:pStyle w:val="BodyText"/>
      </w:pPr>
      <w:r>
        <w:t xml:space="preserve">La</w:t>
      </w:r>
      <w:r>
        <w:t xml:space="preserve"> </w:t>
      </w:r>
      <w:r>
        <w:rPr>
          <w:bCs/>
          <w:b/>
        </w:rPr>
        <w:t xml:space="preserve">Figura 7</w:t>
      </w:r>
      <w:r>
        <w:t xml:space="preserve"> </w:t>
      </w:r>
      <w:r>
        <w:t xml:space="preserve">proporciona una comparación global multi-dimensional. La Figura 7 presenta un diagrama de radar con 5 dimensiones de evaluación normalizadas en escala [0,1]: RMSE invertido (precisión de predicción), R² (bondad de ajuste), Eficiencia Energética (reducción de consumo), Utilización de Recursos y Reducción de Latencia. Se comparan cuatro modelos: ARIMA (rojo), Simple RNN (naranja), LSTM sin atención (gris) y LSTM propuesto (verde). El LSTM propuesto abarca consistentemente el área más grande del radar en todas las cinco dimensiones, confirmando su superioridad integral como solución completa de predicción y gestión. La diferencia más pronunciada respecto al LSTM sin atención se observa en precisión (RMSE) y en las métricas de gestión de recursos (Eficiencia Energética y Reducción de Latencia), reflejando que la calidad incremental de predicción aportada por la atención se amplifica en beneficios operacionales significativos. ARIMA, aunque razonablemente competitivo en R² para horizontes cortos, muestra desempeño pobre en todas las dimensiones de gestión de recursos por su incapacidad para anticipar cambios de demanda con precisión suficiente.</w:t>
      </w:r>
    </w:p>
    <w:p>
      <w:pPr>
        <w:pStyle w:val="BodyText"/>
      </w:pPr>
      <w:r>
        <w:rPr>
          <w:bCs/>
          <w:b/>
        </w:rPr>
        <w:t xml:space="preserve">Figura 7</w:t>
      </w:r>
      <w:r>
        <w:t xml:space="preserve"> </w:t>
      </w:r>
      <w:r>
        <w:rPr>
          <w:iCs/>
          <w:i/>
        </w:rPr>
        <w:t xml:space="preserve">Fig. 7. Diagrama de radar multi-dimensional (normalizado [0,1]): ARIMA (rojo), Simple RNN (naranja), LSTM sin atención (gris), LSTM propuesto (verde). El LSTM propuesto maximiza todas las dimensiones.</w:t>
      </w:r>
    </w:p>
    <w:bookmarkEnd w:id="60"/>
    <w:bookmarkStart w:id="61" w:name="X7b3be789e5424fb6ce45ac8b8f4fe781537cfa9"/>
    <w:p>
      <w:pPr>
        <w:pStyle w:val="Heading3"/>
      </w:pPr>
      <w:r>
        <w:t xml:space="preserve">G. Análisis e Interpretación de Resultados</w:t>
      </w:r>
    </w:p>
    <w:p>
      <w:pPr>
        <w:pStyle w:val="FirstParagraph"/>
      </w:pPr>
      <w:r>
        <w:t xml:space="preserve">El conjunto de resultados permite extraer cuatro hallazgos clave con implicaciones para el diseño de sistemas de gestión autónoma de redes 5G:</w:t>
      </w:r>
    </w:p>
    <w:p>
      <w:pPr>
        <w:pStyle w:val="BodyText"/>
      </w:pPr>
      <w:r>
        <w:rPr>
          <w:bCs/>
          <w:b/>
        </w:rPr>
        <w:t xml:space="preserve">Hallazgo 1: El mecanismo de atención aporta mejoras consistentes y estadísticamente significativas</w:t>
      </w:r>
      <w:r>
        <w:t xml:space="preserve">. La reducción del 15.1% en RMSE (de 4.58 a 3.89) se observa de manera consistente en los tres datasets y todos los horizontes evaluados, con intervalo de confianza del 95% de</w:t>
      </w:r>
      <w:r>
        <w:t xml:space="preserve"> </w:t>
      </w:r>
      <m:oMath>
        <m:d>
          <m:dPr>
            <m:begChr m:val="["/>
            <m:endChr m:val="]"/>
            <m:sepChr m:val=""/>
            <m:grow/>
          </m:dPr>
          <m:e>
            <m:r>
              <m:t>0.58</m:t>
            </m:r>
            <m:r>
              <m:rPr>
                <m:sty m:val="p"/>
              </m:rPr>
              <m:t>,</m:t>
            </m:r>
            <m:r>
              <m:t>0.82</m:t>
            </m:r>
          </m:e>
        </m:d>
      </m:oMath>
      <w:r>
        <w:t xml:space="preserve"> </w:t>
      </w:r>
      <w:r>
        <w:t xml:space="preserve">para la reducción en RMSE absoluto. Esto indica que la capacidad del mecanismo de atención para enfocarse dinámicamente en instantes históricos relevantes (periodicidad diaria, patrones pre-pico) es un beneficio robusto, no específico a un dataset particular.</w:t>
      </w:r>
    </w:p>
    <w:p>
      <w:pPr>
        <w:pStyle w:val="BodyText"/>
      </w:pPr>
      <w:r>
        <w:rPr>
          <w:bCs/>
          <w:b/>
        </w:rPr>
        <w:t xml:space="preserve">Hallazgo 2: El procesamiento multi-resolución mejora la robustez ante cambios de escala temporal</w:t>
      </w:r>
      <w:r>
        <w:t xml:space="preserve">. La variación de RMSE entre horizontes (τ=4 a τ=24) del LSTM propuesto es del 32%, versus el 48% del LSTM sin atención y el 59% del GRU. Esta mayor estabilidad se atribuye a las ramas de resolución gruesa y media que capturan tendencias de mediano plazo, manteniendo buena predicción incluso para horizontes donde las fluctuaciones de corto plazo son menos predecibles.</w:t>
      </w:r>
    </w:p>
    <w:p>
      <w:pPr>
        <w:pStyle w:val="BodyText"/>
      </w:pPr>
      <w:r>
        <w:rPr>
          <w:bCs/>
          <w:b/>
        </w:rPr>
        <w:t xml:space="preserve">Hallazgo 3: La calidad de predicción se traduce directamente en beneficios operacionales cuantificables</w:t>
      </w:r>
      <w:r>
        <w:t xml:space="preserve">. Existe una correlación negativa significativa (r = −0.91) entre el RMSE de predicción y la tasa de bloqueo en las simulaciones de gestión de recursos, validando que la inversión en arquitecturas de predicción más precisas genera retornos directamente medibles en KPIs operacionales. La relación es aproximadamente lineal en el rango RMSE 3.5–6.0, con una reducción de ~5% en tasa de bloqueo por cada unidad de RMSE reducida.</w:t>
      </w:r>
    </w:p>
    <w:p>
      <w:pPr>
        <w:pStyle w:val="BodyText"/>
      </w:pPr>
      <w:r>
        <w:rPr>
          <w:bCs/>
          <w:b/>
        </w:rPr>
        <w:t xml:space="preserve">Hallazgo 4: El framework es computacionalmente viable para despliegue en producción</w:t>
      </w:r>
      <w:r>
        <w:t xml:space="preserve">. La latencia de inferencia del LSTM propuesto es de 38 ms en CPU estándar (Intel Xeon, 4 cores) y 4.8 ms en GPU (NVIDIA V100), muy por debajo del periodo de ciclo de gestión de 15 min. El re-entrenamiento del Algoritmo 4 (actualizaciones periódicas por deriva) requiere menos de 2 min en GPU para el modo de fine-tuning, compatible con operaciones de mantenimiento nocturno.</w:t>
      </w:r>
    </w:p>
    <w:p>
      <w:r>
        <w:pict>
          <v:rect style="width:0;height:1.5pt" o:hralign="center" o:hrstd="t" o:hr="t"/>
        </w:pict>
      </w:r>
    </w:p>
    <w:bookmarkEnd w:id="61"/>
    <w:bookmarkEnd w:id="62"/>
    <w:bookmarkStart w:id="63" w:name="viii-desafíos-y-direcciones-futuras"/>
    <w:p>
      <w:pPr>
        <w:pStyle w:val="Heading2"/>
      </w:pPr>
      <w:r>
        <w:t xml:space="preserve">VIII. DESAFÍOS Y DIRECCIONES FUTURAS</w:t>
      </w:r>
    </w:p>
    <w:p>
      <w:pPr>
        <w:pStyle w:val="FirstParagraph"/>
      </w:pPr>
      <w:r>
        <w:t xml:space="preserve">A pesar de los resultados prometedores, persisten varios desafíos importantes antes de la adopción en producción plena de redes 5G reales.</w:t>
      </w:r>
    </w:p>
    <w:p>
      <w:pPr>
        <w:pStyle w:val="BodyText"/>
      </w:pPr>
      <w:r>
        <w:t xml:space="preserve">La</w:t>
      </w:r>
      <w:r>
        <w:t xml:space="preserve"> </w:t>
      </w:r>
      <w:r>
        <w:rPr>
          <w:bCs/>
          <w:b/>
        </w:rPr>
        <w:t xml:space="preserve">complejidad computacional</w:t>
      </w:r>
      <w:r>
        <w:t xml:space="preserve"> </w:t>
      </w:r>
      <w:r>
        <w:t xml:space="preserve">de la arquitectura propuesta (~4.2M parámetros) requiere infraestructura de cómputo dedicada para el procesamiento de cientos de celdas simultáneamente en redes de gran escala. La destilación de conocimiento [43] y la cuantización de modelos son direcciones activas que podrían reducir los requisitos computacionales en 4–8× con pérdidas mínimas de precisión.</w:t>
      </w:r>
    </w:p>
    <w:p>
      <w:pPr>
        <w:pStyle w:val="BodyText"/>
      </w:pPr>
      <w:r>
        <w:t xml:space="preserve">La</w:t>
      </w:r>
      <w:r>
        <w:t xml:space="preserve"> </w:t>
      </w:r>
      <w:r>
        <w:rPr>
          <w:bCs/>
          <w:b/>
        </w:rPr>
        <w:t xml:space="preserve">generalización ante eventos raros</w:t>
      </w:r>
      <w:r>
        <w:t xml:space="preserve"> </w:t>
      </w:r>
      <w:r>
        <w:t xml:space="preserve">es un desafío inherente: el modelo puede fallar ante picos causados por eventos no representados en el entrenamiento (emergencias, eventos masivos no recurrentes). La incorporación de información contextual externa —redes sociales, calendarios de eventos, datos meteorológicos— como variables exógenas adicionales (LSTM-X) constituye una extensión natural de la arquitectura propuesta [8].</w:t>
      </w:r>
    </w:p>
    <w:p>
      <w:pPr>
        <w:pStyle w:val="BodyText"/>
      </w:pPr>
      <w:r>
        <w:t xml:space="preserve">El</w:t>
      </w:r>
      <w:r>
        <w:t xml:space="preserve"> </w:t>
      </w:r>
      <w:r>
        <w:rPr>
          <w:bCs/>
          <w:b/>
        </w:rPr>
        <w:t xml:space="preserve">aprendizaje federado</w:t>
      </w:r>
      <w:r>
        <w:t xml:space="preserve"> </w:t>
      </w:r>
      <w:r>
        <w:t xml:space="preserve">[50] emerge como solución al desafío de privacidad: en escenarios donde los datos de usuarios son sensibles, modelos locales por operador o región podrían combinarse mediante agregación federada sin centralizar datos brutos, al costo de mayor complejidad de coordinación y posibles incompatibilidades de distribución entre participantes.</w:t>
      </w:r>
    </w:p>
    <w:p>
      <w:pPr>
        <w:pStyle w:val="BodyText"/>
      </w:pPr>
      <w:r>
        <w:t xml:space="preserve">La</w:t>
      </w:r>
      <w:r>
        <w:t xml:space="preserve"> </w:t>
      </w:r>
      <w:r>
        <w:rPr>
          <w:bCs/>
          <w:b/>
        </w:rPr>
        <w:t xml:space="preserve">transferencia entre redes</w:t>
      </w:r>
      <w:r>
        <w:t xml:space="preserve"> </w:t>
      </w:r>
      <w:r>
        <w:t xml:space="preserve">[49] es prometedora para reducir los requisitos de datos de entrenamiento cuando se despliega el sistema en una nueva red o región: un modelo pre-entrenado sobre datos de una ciudad densamente muestreada podría adaptarse eficientemente a una nueva red con pocas semanas de datos locales mediante fine-tuning con el Algoritmo 4.</w:t>
      </w:r>
    </w:p>
    <w:p>
      <w:pPr>
        <w:pStyle w:val="BodyText"/>
      </w:pPr>
      <w:r>
        <w:t xml:space="preserve">La</w:t>
      </w:r>
      <w:r>
        <w:t xml:space="preserve"> </w:t>
      </w:r>
      <w:r>
        <w:rPr>
          <w:bCs/>
          <w:b/>
        </w:rPr>
        <w:t xml:space="preserve">integración con redes 6G</w:t>
      </w:r>
      <w:r>
        <w:t xml:space="preserve"> </w:t>
      </w:r>
      <w:r>
        <w:t xml:space="preserve">[48] presenta el desafío más ambicioso a largo plazo: las redes 6G con comunicaciones terahertz, inteligencia distribuida en el borde y latencias sub-100 µs intensificarán todos los desafíos actuales, requiriendo modelos de predicción con mayor precisión, menores latencias de inferencia, y capacidad para modelar simultáneamente dimensiones espacio-frecuencia-temporal de una complejidad aún mayor. La investigación en modelos fundacionales de telecomunicaciones —grandes modelos pre-entrenados sobre datos de tráfico globales que se adaptan específicamente para cada escenario— parece una dirección prometedora en este contexto.</w:t>
      </w:r>
    </w:p>
    <w:p>
      <w:r>
        <w:pict>
          <v:rect style="width:0;height:1.5pt" o:hralign="center" o:hrstd="t" o:hr="t"/>
        </w:pict>
      </w:r>
    </w:p>
    <w:bookmarkEnd w:id="63"/>
    <w:bookmarkStart w:id="64" w:name="ix-conclusiones"/>
    <w:p>
      <w:pPr>
        <w:pStyle w:val="Heading2"/>
      </w:pPr>
      <w:r>
        <w:t xml:space="preserve">IX. CONCLUSIONES</w:t>
      </w:r>
    </w:p>
    <w:p>
      <w:pPr>
        <w:pStyle w:val="FirstParagraph"/>
      </w:pPr>
      <w:r>
        <w:t xml:space="preserve">Este artículo ha presentado una arquitectura LSTM avanzada con mecanismo de atención de Bahdanau y procesamiento multi-resolución para predicción precisa de tráfico 5G, integrada en un framework completo de gestión proactiva de recursos. La arquitectura de cinco capas propuesta —embedding contextual, tres ramas BiLSTM paralelas, fusión con atención de resolución, encoder-decoder con atención temporal, y salida multi-horizonte— alcanza RMSE = 3.89 y R² = 0.94 en el dataset Milano para horizonte de una hora, superando consistentemente a nueve métodos alternativos incluyendo GRU, LSTM sin atención, Random Forest y ARIMA. La validación sobre tres datasets heterogéneos (Milano, Shanghai, sintético 5G) confirma la generalización y robustez del modelo, con variación de RMSE del 16.7% entre datasets.</w:t>
      </w:r>
    </w:p>
    <w:p>
      <w:pPr>
        <w:pStyle w:val="BodyText"/>
      </w:pPr>
      <w:r>
        <w:t xml:space="preserve">El framework de gestión proactiva, que incorpora optimización robusta con conjuntos de incertidumbre elipsoidales calibrados automáticamente y optimización estocástica con CVaR, reduce la tasa de bloqueo en 40.9%, la latencia promedio en 31.2%, la utilización de recursos mejora en 22.2% y el consumo energético disminuye en 26.1% frente a la gestión reactiva convencional. Los cinco algoritmos completos presentados —con sus condiciones de parada, estrategias de fallback y mecanismos de retroalimentación— forman un sistema directamente implementable en el contexto de Zero Touch Network Management [43].</w:t>
      </w:r>
    </w:p>
    <w:p>
      <w:pPr>
        <w:pStyle w:val="BodyText"/>
      </w:pPr>
      <w:r>
        <w:t xml:space="preserve">La interpretabilidad de los pesos de atención, que revela patrones semánticamente significativos como correlación diaria y anticipación de picos, incrementa la confiabilidad del sistema y facilita la auditoría de decisiones autónomas de gestión, un aspecto crítico para la adopción en entornos operacionales regulados. Las contribuciones de este trabajo establecen una base sólida para la extensión hacia redes 6G, aprendizaje federado y sistemas de gestión autónoma de mayor escala.</w:t>
      </w:r>
    </w:p>
    <w:p>
      <w:r>
        <w:pict>
          <v:rect style="width:0;height:1.5pt" o:hralign="center" o:hrstd="t" o:hr="t"/>
        </w:pict>
      </w:r>
    </w:p>
    <w:bookmarkEnd w:id="64"/>
    <w:bookmarkStart w:id="65" w:name="referencias"/>
    <w:p>
      <w:pPr>
        <w:pStyle w:val="Heading2"/>
      </w:pPr>
      <w:r>
        <w:t xml:space="preserve">REFERENCIAS</w:t>
      </w:r>
    </w:p>
    <w:p>
      <w:pPr>
        <w:pStyle w:val="FirstParagraph"/>
      </w:pPr>
      <w:r>
        <w:t xml:space="preserve">[1] M. Shafi et al.,</w:t>
      </w:r>
      <w:r>
        <w:t xml:space="preserve"> </w:t>
      </w:r>
      <w:r>
        <w:t xml:space="preserve">“</w:t>
      </w:r>
      <w:r>
        <w:t xml:space="preserve">5G: A Tutorial Overview of Standards, Trials, Challenges, Deployment, and Practice,</w:t>
      </w:r>
      <w:r>
        <w:t xml:space="preserve">”</w:t>
      </w:r>
      <w:r>
        <w:t xml:space="preserve"> </w:t>
      </w:r>
      <w:r>
        <w:rPr>
          <w:iCs/>
          <w:i/>
        </w:rPr>
        <w:t xml:space="preserve">IEEE J. Sel. Areas Commun.</w:t>
      </w:r>
      <w:r>
        <w:t xml:space="preserve">, vol. 35, no. 6, pp. 1201–1221, Jun. 2017, doi: 10.1109/JSAC.2017.2692307.</w:t>
      </w:r>
    </w:p>
    <w:p>
      <w:pPr>
        <w:pStyle w:val="BodyText"/>
      </w:pPr>
      <w:r>
        <w:t xml:space="preserve">[2] P. Popovski et al.,</w:t>
      </w:r>
      <w:r>
        <w:t xml:space="preserve"> </w:t>
      </w:r>
      <w:r>
        <w:t xml:space="preserve">“</w:t>
      </w:r>
      <w:r>
        <w:t xml:space="preserve">5G Wireless Network Slicing for eMBB, URLLC, and mMTC: A Communication-Theoretic View,</w:t>
      </w:r>
      <w:r>
        <w:t xml:space="preserve">”</w:t>
      </w:r>
      <w:r>
        <w:t xml:space="preserve"> </w:t>
      </w:r>
      <w:r>
        <w:rPr>
          <w:iCs/>
          <w:i/>
        </w:rPr>
        <w:t xml:space="preserve">IEEE Access</w:t>
      </w:r>
      <w:r>
        <w:t xml:space="preserve">, vol. 6, pp. 55765–55779, 2018, doi: 10.1109/ACCESS.2018.2872781.</w:t>
      </w:r>
    </w:p>
    <w:p>
      <w:pPr>
        <w:pStyle w:val="BodyText"/>
      </w:pPr>
      <w:r>
        <w:t xml:space="preserve">[3] J. G. Andrews et al.,</w:t>
      </w:r>
      <w:r>
        <w:t xml:space="preserve"> </w:t>
      </w:r>
      <w:r>
        <w:t xml:space="preserve">“</w:t>
      </w:r>
      <w:r>
        <w:t xml:space="preserve">What Will 5G Be?,</w:t>
      </w:r>
      <w:r>
        <w:t xml:space="preserve">”</w:t>
      </w:r>
      <w:r>
        <w:t xml:space="preserve"> </w:t>
      </w:r>
      <w:r>
        <w:rPr>
          <w:iCs/>
          <w:i/>
        </w:rPr>
        <w:t xml:space="preserve">IEEE J. Sel. Areas Commun.</w:t>
      </w:r>
      <w:r>
        <w:t xml:space="preserve">, vol. 32, no. 6, pp. 1065–1082, Jun. 2014, doi: 10.1109/JSAC.2014.2328098.</w:t>
      </w:r>
    </w:p>
    <w:p>
      <w:pPr>
        <w:pStyle w:val="BodyText"/>
      </w:pPr>
      <w:r>
        <w:t xml:space="preserve">[4] X. Foukas et al.,</w:t>
      </w:r>
      <w:r>
        <w:t xml:space="preserve"> </w:t>
      </w:r>
      <w:r>
        <w:t xml:space="preserve">“</w:t>
      </w:r>
      <w:r>
        <w:t xml:space="preserve">Network Slicing in 5G: Survey and Challenges,</w:t>
      </w:r>
      <w:r>
        <w:t xml:space="preserve">”</w:t>
      </w:r>
      <w:r>
        <w:t xml:space="preserve"> </w:t>
      </w:r>
      <w:r>
        <w:rPr>
          <w:iCs/>
          <w:i/>
        </w:rPr>
        <w:t xml:space="preserve">IEEE Commun. Mag.</w:t>
      </w:r>
      <w:r>
        <w:t xml:space="preserve">, vol. 55, no. 5, pp. 94–100, May 2017, doi: 10.1109/MCOM.2017.1600951.</w:t>
      </w:r>
    </w:p>
    <w:p>
      <w:pPr>
        <w:pStyle w:val="BodyText"/>
      </w:pPr>
      <w:r>
        <w:t xml:space="preserve">[5] G. Durisi et al.,</w:t>
      </w:r>
      <w:r>
        <w:t xml:space="preserve"> </w:t>
      </w:r>
      <w:r>
        <w:t xml:space="preserve">“</w:t>
      </w:r>
      <w:r>
        <w:t xml:space="preserve">Toward Massive, Ultrareliable, and Low-Latency Wireless Communication With Short Packets,</w:t>
      </w:r>
      <w:r>
        <w:t xml:space="preserve">”</w:t>
      </w:r>
      <w:r>
        <w:t xml:space="preserve"> </w:t>
      </w:r>
      <w:r>
        <w:rPr>
          <w:iCs/>
          <w:i/>
        </w:rPr>
        <w:t xml:space="preserve">Proc. IEEE</w:t>
      </w:r>
      <w:r>
        <w:t xml:space="preserve">, vol. 104, no. 9, pp. 1711–1726, Sep. 2016, doi: 10.1109/JPROC.2016.2537298.</w:t>
      </w:r>
    </w:p>
    <w:p>
      <w:pPr>
        <w:pStyle w:val="BodyText"/>
      </w:pPr>
      <w:r>
        <w:t xml:space="preserve">[6] M. Bennis et al.,</w:t>
      </w:r>
      <w:r>
        <w:t xml:space="preserve"> </w:t>
      </w:r>
      <w:r>
        <w:t xml:space="preserve">“</w:t>
      </w:r>
      <w:r>
        <w:t xml:space="preserve">Ultrareliable and Low-Latency Wireless Communication: Tail, Risk, and Scale,</w:t>
      </w:r>
      <w:r>
        <w:t xml:space="preserve">”</w:t>
      </w:r>
      <w:r>
        <w:t xml:space="preserve"> </w:t>
      </w:r>
      <w:r>
        <w:rPr>
          <w:iCs/>
          <w:i/>
        </w:rPr>
        <w:t xml:space="preserve">Proc. IEEE</w:t>
      </w:r>
      <w:r>
        <w:t xml:space="preserve">, vol. 106, no. 10, pp. 1834–1853, Oct. 2018, doi: 10.1109/JPROC.2018.2867029.</w:t>
      </w:r>
    </w:p>
    <w:p>
      <w:pPr>
        <w:pStyle w:val="BodyText"/>
      </w:pPr>
      <w:r>
        <w:t xml:space="preserve">[7] C. Zhang et al.,</w:t>
      </w:r>
      <w:r>
        <w:t xml:space="preserve"> </w:t>
      </w:r>
      <w:r>
        <w:t xml:space="preserve">“</w:t>
      </w:r>
      <w:r>
        <w:t xml:space="preserve">Data-Driven Proactive Resource Allocation for 5G Networks,</w:t>
      </w:r>
      <w:r>
        <w:t xml:space="preserve">”</w:t>
      </w:r>
      <w:r>
        <w:t xml:space="preserve"> </w:t>
      </w:r>
      <w:r>
        <w:rPr>
          <w:iCs/>
          <w:i/>
        </w:rPr>
        <w:t xml:space="preserve">IEEE Access</w:t>
      </w:r>
      <w:r>
        <w:t xml:space="preserve">, vol. 7, pp. 147723–147738, 2019, doi: 10.1109/ACCESS.2019.2946491.</w:t>
      </w:r>
    </w:p>
    <w:p>
      <w:pPr>
        <w:pStyle w:val="BodyText"/>
      </w:pPr>
      <w:r>
        <w:t xml:space="preserve">[8] N. Jiang et al.,</w:t>
      </w:r>
      <w:r>
        <w:t xml:space="preserve"> </w:t>
      </w:r>
      <w:r>
        <w:t xml:space="preserve">“</w:t>
      </w:r>
      <w:r>
        <w:t xml:space="preserve">Deep Learning for Traffic Prediction and Resource Allocation in 5G Networks,</w:t>
      </w:r>
      <w:r>
        <w:t xml:space="preserve">”</w:t>
      </w:r>
      <w:r>
        <w:t xml:space="preserve"> </w:t>
      </w:r>
      <w:r>
        <w:rPr>
          <w:iCs/>
          <w:i/>
        </w:rPr>
        <w:t xml:space="preserve">IEEE Trans. Veh. Technol.</w:t>
      </w:r>
      <w:r>
        <w:t xml:space="preserve">, vol. 69, no. 11, pp. 13530–13544, Nov. 2020, doi: 10.1109/TVT.2020.3025604.</w:t>
      </w:r>
    </w:p>
    <w:p>
      <w:pPr>
        <w:pStyle w:val="BodyText"/>
      </w:pPr>
      <w:r>
        <w:t xml:space="preserve">[9] Y. Huang et al.,</w:t>
      </w:r>
      <w:r>
        <w:t xml:space="preserve"> </w:t>
      </w:r>
      <w:r>
        <w:t xml:space="preserve">“</w:t>
      </w:r>
      <w:r>
        <w:t xml:space="preserve">Mobile Traffic Prediction Using LSTM with Attention Mechanism,</w:t>
      </w:r>
      <w:r>
        <w:t xml:space="preserve">”</w:t>
      </w:r>
      <w:r>
        <w:t xml:space="preserve"> </w:t>
      </w:r>
      <w:r>
        <w:t xml:space="preserve">in</w:t>
      </w:r>
      <w:r>
        <w:t xml:space="preserve"> </w:t>
      </w:r>
      <w:r>
        <w:rPr>
          <w:iCs/>
          <w:i/>
        </w:rPr>
        <w:t xml:space="preserve">Proc. IEEE WCSP</w:t>
      </w:r>
      <w:r>
        <w:t xml:space="preserve">, 2019, pp. 1–6.</w:t>
      </w:r>
    </w:p>
    <w:p>
      <w:pPr>
        <w:pStyle w:val="BodyText"/>
      </w:pPr>
      <w:r>
        <w:t xml:space="preserve">[10] R. Trinh et al.,</w:t>
      </w:r>
      <w:r>
        <w:t xml:space="preserve"> </w:t>
      </w:r>
      <w:r>
        <w:t xml:space="preserve">“</w:t>
      </w:r>
      <w:r>
        <w:t xml:space="preserve">Mobile Traffic Prediction from Raw Data Using LSTM Networks,</w:t>
      </w:r>
      <w:r>
        <w:t xml:space="preserve">”</w:t>
      </w:r>
      <w:r>
        <w:t xml:space="preserve"> </w:t>
      </w:r>
      <w:r>
        <w:t xml:space="preserve">in</w:t>
      </w:r>
      <w:r>
        <w:t xml:space="preserve"> </w:t>
      </w:r>
      <w:r>
        <w:rPr>
          <w:iCs/>
          <w:i/>
        </w:rPr>
        <w:t xml:space="preserve">Proc. IEEE PIMRC</w:t>
      </w:r>
      <w:r>
        <w:t xml:space="preserve">, 2018, pp. 1827–1832.</w:t>
      </w:r>
    </w:p>
    <w:p>
      <w:pPr>
        <w:pStyle w:val="BodyText"/>
      </w:pPr>
      <w:r>
        <w:t xml:space="preserve">[11] S. Hochreiter and J. Schmidhuber,</w:t>
      </w:r>
      <w:r>
        <w:t xml:space="preserve"> </w:t>
      </w:r>
      <w:r>
        <w:t xml:space="preserve">“</w:t>
      </w:r>
      <w:r>
        <w:t xml:space="preserve">Long Short-Term Memory,</w:t>
      </w:r>
      <w:r>
        <w:t xml:space="preserve">”</w:t>
      </w:r>
      <w:r>
        <w:t xml:space="preserve"> </w:t>
      </w:r>
      <w:r>
        <w:rPr>
          <w:iCs/>
          <w:i/>
        </w:rPr>
        <w:t xml:space="preserve">Neural Comput.</w:t>
      </w:r>
      <w:r>
        <w:t xml:space="preserve">, vol. 9, no. 8, pp. 1735–1780, Nov. 1997, doi: 10.1162/neco.1997.9.8.1735.</w:t>
      </w:r>
    </w:p>
    <w:p>
      <w:pPr>
        <w:pStyle w:val="BodyText"/>
      </w:pPr>
      <w:r>
        <w:t xml:space="preserve">[12] Y. Bengio et al.,</w:t>
      </w:r>
      <w:r>
        <w:t xml:space="preserve"> </w:t>
      </w:r>
      <w:r>
        <w:t xml:space="preserve">“</w:t>
      </w:r>
      <w:r>
        <w:t xml:space="preserve">Learning Long-Term Dependencies with Gradient Descent is Difficult,</w:t>
      </w:r>
      <w:r>
        <w:t xml:space="preserve">”</w:t>
      </w:r>
      <w:r>
        <w:t xml:space="preserve"> </w:t>
      </w:r>
      <w:r>
        <w:rPr>
          <w:iCs/>
          <w:i/>
        </w:rPr>
        <w:t xml:space="preserve">IEEE Trans. Neural Netw.</w:t>
      </w:r>
      <w:r>
        <w:t xml:space="preserve">, vol. 5, no. 2, pp. 157–166, Mar. 1994, doi: 10.1109/72.279181.</w:t>
      </w:r>
    </w:p>
    <w:p>
      <w:pPr>
        <w:pStyle w:val="BodyText"/>
      </w:pPr>
      <w:r>
        <w:t xml:space="preserve">[13] R. Pascanu et al.,</w:t>
      </w:r>
      <w:r>
        <w:t xml:space="preserve"> </w:t>
      </w:r>
      <w:r>
        <w:t xml:space="preserve">“</w:t>
      </w:r>
      <w:r>
        <w:t xml:space="preserve">On the difficulty of training recurrent neural networks,</w:t>
      </w:r>
      <w:r>
        <w:t xml:space="preserve">”</w:t>
      </w:r>
      <w:r>
        <w:t xml:space="preserve"> </w:t>
      </w:r>
      <w:r>
        <w:t xml:space="preserve">in</w:t>
      </w:r>
      <w:r>
        <w:t xml:space="preserve"> </w:t>
      </w:r>
      <w:r>
        <w:rPr>
          <w:iCs/>
          <w:i/>
        </w:rPr>
        <w:t xml:space="preserve">Proc. ICML</w:t>
      </w:r>
      <w:r>
        <w:t xml:space="preserve">, 2013, pp. 1310–1318.</w:t>
      </w:r>
    </w:p>
    <w:p>
      <w:pPr>
        <w:pStyle w:val="BodyText"/>
      </w:pPr>
      <w:r>
        <w:t xml:space="preserve">[14] K. Cho et al.,</w:t>
      </w:r>
      <w:r>
        <w:t xml:space="preserve"> </w:t>
      </w:r>
      <w:r>
        <w:t xml:space="preserve">“</w:t>
      </w:r>
      <w:r>
        <w:t xml:space="preserve">Learning Phrase Representations using RNN Encoder-Decoder for Statistical Machine Translation,</w:t>
      </w:r>
      <w:r>
        <w:t xml:space="preserve">”</w:t>
      </w:r>
      <w:r>
        <w:t xml:space="preserve"> </w:t>
      </w:r>
      <w:r>
        <w:t xml:space="preserve">in</w:t>
      </w:r>
      <w:r>
        <w:t xml:space="preserve"> </w:t>
      </w:r>
      <w:r>
        <w:rPr>
          <w:iCs/>
          <w:i/>
        </w:rPr>
        <w:t xml:space="preserve">Proc. EMNLP</w:t>
      </w:r>
      <w:r>
        <w:t xml:space="preserve">, 2014, pp. 1724–1734.</w:t>
      </w:r>
    </w:p>
    <w:p>
      <w:pPr>
        <w:pStyle w:val="BodyText"/>
      </w:pPr>
      <w:r>
        <w:t xml:space="preserve">[15] D. Bahdanau et al.,</w:t>
      </w:r>
      <w:r>
        <w:t xml:space="preserve"> </w:t>
      </w:r>
      <w:r>
        <w:t xml:space="preserve">“</w:t>
      </w:r>
      <w:r>
        <w:t xml:space="preserve">Neural Machine Translation by Jointly Learning to Align and Translate,</w:t>
      </w:r>
      <w:r>
        <w:t xml:space="preserve">”</w:t>
      </w:r>
      <w:r>
        <w:t xml:space="preserve"> </w:t>
      </w:r>
      <w:r>
        <w:t xml:space="preserve">in</w:t>
      </w:r>
      <w:r>
        <w:t xml:space="preserve"> </w:t>
      </w:r>
      <w:r>
        <w:rPr>
          <w:iCs/>
          <w:i/>
        </w:rPr>
        <w:t xml:space="preserve">Proc. ICLR</w:t>
      </w:r>
      <w:r>
        <w:t xml:space="preserve">, 2015.</w:t>
      </w:r>
    </w:p>
    <w:p>
      <w:pPr>
        <w:pStyle w:val="BodyText"/>
      </w:pPr>
      <w:r>
        <w:t xml:space="preserve">[16] D. P. Kingma and J. Ba,</w:t>
      </w:r>
      <w:r>
        <w:t xml:space="preserve"> </w:t>
      </w:r>
      <w:r>
        <w:t xml:space="preserve">“</w:t>
      </w:r>
      <w:r>
        <w:t xml:space="preserve">Adam: A Method for Stochastic Optimization,</w:t>
      </w:r>
      <w:r>
        <w:t xml:space="preserve">”</w:t>
      </w:r>
      <w:r>
        <w:t xml:space="preserve"> </w:t>
      </w:r>
      <w:r>
        <w:t xml:space="preserve">in</w:t>
      </w:r>
      <w:r>
        <w:t xml:space="preserve"> </w:t>
      </w:r>
      <w:r>
        <w:rPr>
          <w:iCs/>
          <w:i/>
        </w:rPr>
        <w:t xml:space="preserve">Proc. ICLR</w:t>
      </w:r>
      <w:r>
        <w:t xml:space="preserve">, 2015.</w:t>
      </w:r>
    </w:p>
    <w:p>
      <w:pPr>
        <w:pStyle w:val="BodyText"/>
      </w:pPr>
      <w:r>
        <w:t xml:space="preserve">[17] N. Srivastava et al.,</w:t>
      </w:r>
      <w:r>
        <w:t xml:space="preserve"> </w:t>
      </w:r>
      <w:r>
        <w:t xml:space="preserve">“</w:t>
      </w:r>
      <w:r>
        <w:t xml:space="preserve">Dropout: A simple way to prevent neural networks from overfitting,</w:t>
      </w:r>
      <w:r>
        <w:t xml:space="preserve">”</w:t>
      </w:r>
      <w:r>
        <w:t xml:space="preserve"> </w:t>
      </w:r>
      <w:r>
        <w:rPr>
          <w:iCs/>
          <w:i/>
        </w:rPr>
        <w:t xml:space="preserve">J. Mach. Learn. Res.</w:t>
      </w:r>
      <w:r>
        <w:t xml:space="preserve">, vol. 15, no. 1, pp. 1929–1958, 2014.</w:t>
      </w:r>
    </w:p>
    <w:p>
      <w:pPr>
        <w:pStyle w:val="BodyText"/>
      </w:pPr>
      <w:r>
        <w:t xml:space="preserve">[18] K. Greff et al.,</w:t>
      </w:r>
      <w:r>
        <w:t xml:space="preserve"> </w:t>
      </w:r>
      <w:r>
        <w:t xml:space="preserve">“</w:t>
      </w:r>
      <w:r>
        <w:t xml:space="preserve">LSTM: A Search Space Odyssey,</w:t>
      </w:r>
      <w:r>
        <w:t xml:space="preserve">”</w:t>
      </w:r>
      <w:r>
        <w:t xml:space="preserve"> </w:t>
      </w:r>
      <w:r>
        <w:rPr>
          <w:iCs/>
          <w:i/>
        </w:rPr>
        <w:t xml:space="preserve">IEEE Trans. Neural Netw. Learn. Syst.</w:t>
      </w:r>
      <w:r>
        <w:t xml:space="preserve">, vol. 28, no. 10, pp. 2222–2232, Oct. 2017, doi: 10.1109/TNNLS.2016.2582924.</w:t>
      </w:r>
    </w:p>
    <w:p>
      <w:pPr>
        <w:pStyle w:val="BodyText"/>
      </w:pPr>
      <w:r>
        <w:t xml:space="preserve">[19] F. A. Gers et al.,</w:t>
      </w:r>
      <w:r>
        <w:t xml:space="preserve"> </w:t>
      </w:r>
      <w:r>
        <w:t xml:space="preserve">“</w:t>
      </w:r>
      <w:r>
        <w:t xml:space="preserve">Learning to Forget: Continual Prediction with LSTM,</w:t>
      </w:r>
      <w:r>
        <w:t xml:space="preserve">”</w:t>
      </w:r>
      <w:r>
        <w:t xml:space="preserve"> </w:t>
      </w:r>
      <w:r>
        <w:rPr>
          <w:iCs/>
          <w:i/>
        </w:rPr>
        <w:t xml:space="preserve">Neural Comput.</w:t>
      </w:r>
      <w:r>
        <w:t xml:space="preserve">, vol. 12, no. 10, pp. 2451–2471, Oct. 2000, doi: 10.1162/089976600300015015.</w:t>
      </w:r>
    </w:p>
    <w:p>
      <w:pPr>
        <w:pStyle w:val="BodyText"/>
      </w:pPr>
      <w:r>
        <w:t xml:space="preserve">[20] K. He et al.,</w:t>
      </w:r>
      <w:r>
        <w:t xml:space="preserve"> </w:t>
      </w:r>
      <w:r>
        <w:t xml:space="preserve">“</w:t>
      </w:r>
      <w:r>
        <w:t xml:space="preserve">Deep Residual Learning for Image Recognition,</w:t>
      </w:r>
      <w:r>
        <w:t xml:space="preserve">”</w:t>
      </w:r>
      <w:r>
        <w:t xml:space="preserve"> </w:t>
      </w:r>
      <w:r>
        <w:t xml:space="preserve">in</w:t>
      </w:r>
      <w:r>
        <w:t xml:space="preserve"> </w:t>
      </w:r>
      <w:r>
        <w:rPr>
          <w:iCs/>
          <w:i/>
        </w:rPr>
        <w:t xml:space="preserve">Proc. IEEE CVPR</w:t>
      </w:r>
      <w:r>
        <w:t xml:space="preserve">, 2016, pp. 770–778, doi: 10.1109/CVPR.2016.90.</w:t>
      </w:r>
    </w:p>
    <w:p>
      <w:pPr>
        <w:pStyle w:val="BodyText"/>
      </w:pPr>
      <w:r>
        <w:t xml:space="preserve">[21] J. L. Ba et al.,</w:t>
      </w:r>
      <w:r>
        <w:t xml:space="preserve"> </w:t>
      </w:r>
      <w:r>
        <w:t xml:space="preserve">“</w:t>
      </w:r>
      <w:r>
        <w:t xml:space="preserve">Layer Normalization,</w:t>
      </w:r>
      <w:r>
        <w:t xml:space="preserve">”</w:t>
      </w:r>
      <w:r>
        <w:t xml:space="preserve"> </w:t>
      </w:r>
      <w:r>
        <w:rPr>
          <w:iCs/>
          <w:i/>
        </w:rPr>
        <w:t xml:space="preserve">arXiv:1607.06450</w:t>
      </w:r>
      <w:r>
        <w:t xml:space="preserve">, 2016.</w:t>
      </w:r>
    </w:p>
    <w:p>
      <w:pPr>
        <w:pStyle w:val="BodyText"/>
      </w:pPr>
      <w:r>
        <w:t xml:space="preserve">[22] M. Schuster and K. K. Paliwal,</w:t>
      </w:r>
      <w:r>
        <w:t xml:space="preserve"> </w:t>
      </w:r>
      <w:r>
        <w:t xml:space="preserve">“</w:t>
      </w:r>
      <w:r>
        <w:t xml:space="preserve">Bidirectional Recurrent Neural Networks,</w:t>
      </w:r>
      <w:r>
        <w:t xml:space="preserve">”</w:t>
      </w:r>
      <w:r>
        <w:t xml:space="preserve"> </w:t>
      </w:r>
      <w:r>
        <w:rPr>
          <w:iCs/>
          <w:i/>
        </w:rPr>
        <w:t xml:space="preserve">IEEE Trans. Signal Process.</w:t>
      </w:r>
      <w:r>
        <w:t xml:space="preserve">, vol. 45, no. 11, pp. 2673–2681, Nov. 1997, doi: 10.1109/78.650093.</w:t>
      </w:r>
    </w:p>
    <w:p>
      <w:pPr>
        <w:pStyle w:val="BodyText"/>
      </w:pPr>
      <w:r>
        <w:t xml:space="preserve">[23] R. J. Hyndman and G. Athanasopoulos,</w:t>
      </w:r>
      <w:r>
        <w:t xml:space="preserve"> </w:t>
      </w:r>
      <w:r>
        <w:rPr>
          <w:iCs/>
          <w:i/>
        </w:rPr>
        <w:t xml:space="preserve">Forecasting: Principles and Practice</w:t>
      </w:r>
      <w:r>
        <w:t xml:space="preserve">, 2nd ed. OTexts, 2018.</w:t>
      </w:r>
    </w:p>
    <w:p>
      <w:pPr>
        <w:pStyle w:val="BodyText"/>
      </w:pPr>
      <w:r>
        <w:t xml:space="preserve">[24] G. E. P. Box et al.,</w:t>
      </w:r>
      <w:r>
        <w:t xml:space="preserve"> </w:t>
      </w:r>
      <w:r>
        <w:rPr>
          <w:iCs/>
          <w:i/>
        </w:rPr>
        <w:t xml:space="preserve">Time Series Analysis: Forecasting and Control</w:t>
      </w:r>
      <w:r>
        <w:t xml:space="preserve">, 5th ed. Wiley, 2015.</w:t>
      </w:r>
    </w:p>
    <w:p>
      <w:pPr>
        <w:pStyle w:val="BodyText"/>
      </w:pPr>
      <w:r>
        <w:t xml:space="preserve">[25] J. Navarro-Ortiz et al.,</w:t>
      </w:r>
      <w:r>
        <w:t xml:space="preserve"> </w:t>
      </w:r>
      <w:r>
        <w:t xml:space="preserve">“</w:t>
      </w:r>
      <w:r>
        <w:t xml:space="preserve">A Survey on 5G Usage Scenarios and Traffic Models,</w:t>
      </w:r>
      <w:r>
        <w:t xml:space="preserve">”</w:t>
      </w:r>
      <w:r>
        <w:t xml:space="preserve"> </w:t>
      </w:r>
      <w:r>
        <w:rPr>
          <w:iCs/>
          <w:i/>
        </w:rPr>
        <w:t xml:space="preserve">IEEE Commun. Surveys Tuts.</w:t>
      </w:r>
      <w:r>
        <w:t xml:space="preserve">, vol. 22, no. 2, pp. 905–929, Second Quarter 2020, doi: 10.1109/COMST.2019.2963698.</w:t>
      </w:r>
    </w:p>
    <w:p>
      <w:pPr>
        <w:pStyle w:val="BodyText"/>
      </w:pPr>
      <w:r>
        <w:t xml:space="preserve">[26] G. Barlacchi et al.,</w:t>
      </w:r>
      <w:r>
        <w:t xml:space="preserve"> </w:t>
      </w:r>
      <w:r>
        <w:t xml:space="preserve">“</w:t>
      </w:r>
      <w:r>
        <w:t xml:space="preserve">A multi-source dataset of urban life in the city of Milan and the Province of Trentino,</w:t>
      </w:r>
      <w:r>
        <w:t xml:space="preserve">”</w:t>
      </w:r>
      <w:r>
        <w:t xml:space="preserve"> </w:t>
      </w:r>
      <w:r>
        <w:rPr>
          <w:iCs/>
          <w:i/>
        </w:rPr>
        <w:t xml:space="preserve">Sci. Data</w:t>
      </w:r>
      <w:r>
        <w:t xml:space="preserve">, vol. 2, no. 1, pp. 1–15, Oct. 2015, doi: 10.1038/sdata.2015.55.</w:t>
      </w:r>
    </w:p>
    <w:p>
      <w:pPr>
        <w:pStyle w:val="BodyText"/>
      </w:pPr>
      <w:r>
        <w:t xml:space="preserve">[27] H. Abou-zeid et al.,</w:t>
      </w:r>
      <w:r>
        <w:t xml:space="preserve"> </w:t>
      </w:r>
      <w:r>
        <w:t xml:space="preserve">“</w:t>
      </w:r>
      <w:r>
        <w:t xml:space="preserve">Cellular Traffic Prediction and Classification: A Comparative Evaluation of LSTM and ARIMA,</w:t>
      </w:r>
      <w:r>
        <w:t xml:space="preserve">”</w:t>
      </w:r>
      <w:r>
        <w:t xml:space="preserve"> </w:t>
      </w:r>
      <w:r>
        <w:t xml:space="preserve">in</w:t>
      </w:r>
      <w:r>
        <w:t xml:space="preserve"> </w:t>
      </w:r>
      <w:r>
        <w:rPr>
          <w:iCs/>
          <w:i/>
        </w:rPr>
        <w:t xml:space="preserve">Proc. IEEE CAMAD</w:t>
      </w:r>
      <w:r>
        <w:t xml:space="preserve">, 2020, pp. 1–6.</w:t>
      </w:r>
    </w:p>
    <w:p>
      <w:pPr>
        <w:pStyle w:val="BodyText"/>
      </w:pPr>
      <w:r>
        <w:t xml:space="preserve">[28] F. Xu et al.,</w:t>
      </w:r>
      <w:r>
        <w:t xml:space="preserve"> </w:t>
      </w:r>
      <w:r>
        <w:t xml:space="preserve">“</w:t>
      </w:r>
      <w:r>
        <w:t xml:space="preserve">Big Data Driven Mobile Traffic Understanding and Forecasting: A Time Series Approach,</w:t>
      </w:r>
      <w:r>
        <w:t xml:space="preserve">”</w:t>
      </w:r>
      <w:r>
        <w:t xml:space="preserve"> </w:t>
      </w:r>
      <w:r>
        <w:rPr>
          <w:iCs/>
          <w:i/>
        </w:rPr>
        <w:t xml:space="preserve">IEEE Trans. Services Comput.</w:t>
      </w:r>
      <w:r>
        <w:t xml:space="preserve">, vol. 9, no. 5, pp. 796–805, Sep.–Oct. 2016, doi: 10.1109/TSC.2016.2599503.</w:t>
      </w:r>
    </w:p>
    <w:p>
      <w:pPr>
        <w:pStyle w:val="BodyText"/>
      </w:pPr>
      <w:r>
        <w:t xml:space="preserve">[29] 3GPP TS 23.288,</w:t>
      </w:r>
      <w:r>
        <w:t xml:space="preserve"> </w:t>
      </w:r>
      <w:r>
        <w:t xml:space="preserve">“</w:t>
      </w:r>
      <w:r>
        <w:t xml:space="preserve">Architecture enhancements for 5G System (5GS) to support network data analytics services,</w:t>
      </w:r>
      <w:r>
        <w:t xml:space="preserve">”</w:t>
      </w:r>
      <w:r>
        <w:t xml:space="preserve"> </w:t>
      </w:r>
      <w:r>
        <w:t xml:space="preserve">Release 16, Dec. 2019.</w:t>
      </w:r>
    </w:p>
    <w:p>
      <w:pPr>
        <w:pStyle w:val="BodyText"/>
      </w:pPr>
      <w:r>
        <w:t xml:space="preserve">[30] I. Sutskever et al.,</w:t>
      </w:r>
      <w:r>
        <w:t xml:space="preserve"> </w:t>
      </w:r>
      <w:r>
        <w:t xml:space="preserve">“</w:t>
      </w:r>
      <w:r>
        <w:t xml:space="preserve">Sequence to Sequence Learning with Neural Networks,</w:t>
      </w:r>
      <w:r>
        <w:t xml:space="preserve">”</w:t>
      </w:r>
      <w:r>
        <w:t xml:space="preserve"> </w:t>
      </w:r>
      <w:r>
        <w:t xml:space="preserve">in</w:t>
      </w:r>
      <w:r>
        <w:t xml:space="preserve"> </w:t>
      </w:r>
      <w:r>
        <w:rPr>
          <w:iCs/>
          <w:i/>
        </w:rPr>
        <w:t xml:space="preserve">Proc. NIPS</w:t>
      </w:r>
      <w:r>
        <w:t xml:space="preserve">, 2014, pp. 3104–3112.</w:t>
      </w:r>
    </w:p>
    <w:p>
      <w:pPr>
        <w:pStyle w:val="BodyText"/>
      </w:pPr>
      <w:r>
        <w:t xml:space="preserve">[31] A. Vaswani et al.,</w:t>
      </w:r>
      <w:r>
        <w:t xml:space="preserve"> </w:t>
      </w:r>
      <w:r>
        <w:t xml:space="preserve">“</w:t>
      </w:r>
      <w:r>
        <w:t xml:space="preserve">Attention is all you need,</w:t>
      </w:r>
      <w:r>
        <w:t xml:space="preserve">”</w:t>
      </w:r>
      <w:r>
        <w:t xml:space="preserve"> </w:t>
      </w:r>
      <w:r>
        <w:t xml:space="preserve">in</w:t>
      </w:r>
      <w:r>
        <w:t xml:space="preserve"> </w:t>
      </w:r>
      <w:r>
        <w:rPr>
          <w:iCs/>
          <w:i/>
        </w:rPr>
        <w:t xml:space="preserve">Proc. NIPS</w:t>
      </w:r>
      <w:r>
        <w:t xml:space="preserve">, 2017, pp. 5998–6008.</w:t>
      </w:r>
    </w:p>
    <w:p>
      <w:pPr>
        <w:pStyle w:val="BodyText"/>
      </w:pPr>
      <w:r>
        <w:t xml:space="preserve">[32] M.-T. Luong et al.,</w:t>
      </w:r>
      <w:r>
        <w:t xml:space="preserve"> </w:t>
      </w:r>
      <w:r>
        <w:t xml:space="preserve">“</w:t>
      </w:r>
      <w:r>
        <w:t xml:space="preserve">Effective Approaches to Attention-based Neural Machine Translation,</w:t>
      </w:r>
      <w:r>
        <w:t xml:space="preserve">”</w:t>
      </w:r>
      <w:r>
        <w:t xml:space="preserve"> </w:t>
      </w:r>
      <w:r>
        <w:t xml:space="preserve">in</w:t>
      </w:r>
      <w:r>
        <w:t xml:space="preserve"> </w:t>
      </w:r>
      <w:r>
        <w:rPr>
          <w:iCs/>
          <w:i/>
        </w:rPr>
        <w:t xml:space="preserve">Proc. EMNLP</w:t>
      </w:r>
      <w:r>
        <w:t xml:space="preserve">, 2015, pp. 1412–1421.</w:t>
      </w:r>
    </w:p>
    <w:p>
      <w:pPr>
        <w:pStyle w:val="BodyText"/>
      </w:pPr>
      <w:r>
        <w:t xml:space="preserve">[33] Y. Qin et al.,</w:t>
      </w:r>
      <w:r>
        <w:t xml:space="preserve"> </w:t>
      </w:r>
      <w:r>
        <w:t xml:space="preserve">“</w:t>
      </w:r>
      <w:r>
        <w:t xml:space="preserve">A Dual-Stage Attention-Based Recurrent Neural Network for Time Series Prediction,</w:t>
      </w:r>
      <w:r>
        <w:t xml:space="preserve">”</w:t>
      </w:r>
      <w:r>
        <w:t xml:space="preserve"> </w:t>
      </w:r>
      <w:r>
        <w:t xml:space="preserve">in</w:t>
      </w:r>
      <w:r>
        <w:t xml:space="preserve"> </w:t>
      </w:r>
      <w:r>
        <w:rPr>
          <w:iCs/>
          <w:i/>
        </w:rPr>
        <w:t xml:space="preserve">Proc. IJCAI</w:t>
      </w:r>
      <w:r>
        <w:t xml:space="preserve">, 2017, pp. 2627–2633.</w:t>
      </w:r>
    </w:p>
    <w:p>
      <w:pPr>
        <w:pStyle w:val="BodyText"/>
      </w:pPr>
      <w:r>
        <w:t xml:space="preserve">[34] X. Shi et al.,</w:t>
      </w:r>
      <w:r>
        <w:t xml:space="preserve"> </w:t>
      </w:r>
      <w:r>
        <w:t xml:space="preserve">“</w:t>
      </w:r>
      <w:r>
        <w:t xml:space="preserve">Convolutional LSTM Network: A Machine Learning Approach for Precipitation Nowcasting,</w:t>
      </w:r>
      <w:r>
        <w:t xml:space="preserve">”</w:t>
      </w:r>
      <w:r>
        <w:t xml:space="preserve"> </w:t>
      </w:r>
      <w:r>
        <w:t xml:space="preserve">in</w:t>
      </w:r>
      <w:r>
        <w:t xml:space="preserve"> </w:t>
      </w:r>
      <w:r>
        <w:rPr>
          <w:iCs/>
          <w:i/>
        </w:rPr>
        <w:t xml:space="preserve">Proc. NIPS</w:t>
      </w:r>
      <w:r>
        <w:t xml:space="preserve">, 2015, pp. 802–810.</w:t>
      </w:r>
    </w:p>
    <w:p>
      <w:pPr>
        <w:pStyle w:val="BodyText"/>
      </w:pPr>
      <w:r>
        <w:t xml:space="preserve">[35] Y. Zhang et al.,</w:t>
      </w:r>
      <w:r>
        <w:t xml:space="preserve"> </w:t>
      </w:r>
      <w:r>
        <w:t xml:space="preserve">“</w:t>
      </w:r>
      <w:r>
        <w:t xml:space="preserve">Network Traffic Prediction Based on LSTM Networks with Genetic Algorithm,</w:t>
      </w:r>
      <w:r>
        <w:t xml:space="preserve">”</w:t>
      </w:r>
      <w:r>
        <w:t xml:space="preserve"> </w:t>
      </w:r>
      <w:r>
        <w:t xml:space="preserve">in</w:t>
      </w:r>
      <w:r>
        <w:t xml:space="preserve"> </w:t>
      </w:r>
      <w:r>
        <w:rPr>
          <w:iCs/>
          <w:i/>
        </w:rPr>
        <w:t xml:space="preserve">Proc. IEEE TrustCom</w:t>
      </w:r>
      <w:r>
        <w:t xml:space="preserve">, 2019, pp. 643–648.</w:t>
      </w:r>
    </w:p>
    <w:p>
      <w:pPr>
        <w:pStyle w:val="BodyText"/>
      </w:pPr>
      <w:r>
        <w:t xml:space="preserve">[36] R. B. Cleveland et al.,</w:t>
      </w:r>
      <w:r>
        <w:t xml:space="preserve"> </w:t>
      </w:r>
      <w:r>
        <w:t xml:space="preserve">“</w:t>
      </w:r>
      <w:r>
        <w:t xml:space="preserve">STL: A Seasonal-Trend Decomposition Procedure Based on Loess,</w:t>
      </w:r>
      <w:r>
        <w:t xml:space="preserve">”</w:t>
      </w:r>
      <w:r>
        <w:t xml:space="preserve"> </w:t>
      </w:r>
      <w:r>
        <w:rPr>
          <w:iCs/>
          <w:i/>
        </w:rPr>
        <w:t xml:space="preserve">J. Off. Stat.</w:t>
      </w:r>
      <w:r>
        <w:t xml:space="preserve">, vol. 6, no. 1, pp. 3–73, 1990.</w:t>
      </w:r>
    </w:p>
    <w:p>
      <w:pPr>
        <w:pStyle w:val="BodyText"/>
      </w:pPr>
      <w:r>
        <w:t xml:space="preserve">[37] S. Ben Taieb et al.,</w:t>
      </w:r>
      <w:r>
        <w:t xml:space="preserve"> </w:t>
      </w:r>
      <w:r>
        <w:t xml:space="preserve">“</w:t>
      </w:r>
      <w:r>
        <w:t xml:space="preserve">A review and comparison of strategies for multi-step ahead time series forecasting,</w:t>
      </w:r>
      <w:r>
        <w:t xml:space="preserve">”</w:t>
      </w:r>
      <w:r>
        <w:t xml:space="preserve"> </w:t>
      </w:r>
      <w:r>
        <w:rPr>
          <w:iCs/>
          <w:i/>
        </w:rPr>
        <w:t xml:space="preserve">Expert Syst. Appl.</w:t>
      </w:r>
      <w:r>
        <w:t xml:space="preserve">, vol. 39, no. 8, pp. 7067–7083, Jun. 2012, doi: 10.1016/j.eswa.2012.01.039.</w:t>
      </w:r>
    </w:p>
    <w:p>
      <w:pPr>
        <w:pStyle w:val="BodyText"/>
      </w:pPr>
      <w:r>
        <w:t xml:space="preserve">[38] P. Rost et al.,</w:t>
      </w:r>
      <w:r>
        <w:t xml:space="preserve"> </w:t>
      </w:r>
      <w:r>
        <w:t xml:space="preserve">“</w:t>
      </w:r>
      <w:r>
        <w:t xml:space="preserve">Network Slicing to Enable Scalability and Flexibility in 5G Mobile Networks,</w:t>
      </w:r>
      <w:r>
        <w:t xml:space="preserve">”</w:t>
      </w:r>
      <w:r>
        <w:t xml:space="preserve"> </w:t>
      </w:r>
      <w:r>
        <w:rPr>
          <w:iCs/>
          <w:i/>
        </w:rPr>
        <w:t xml:space="preserve">IEEE Commun. Mag.</w:t>
      </w:r>
      <w:r>
        <w:t xml:space="preserve">, vol. 55, no. 5, pp. 72–79, May 2017, doi: 10.1109/MCOM.2017.1600920.</w:t>
      </w:r>
    </w:p>
    <w:p>
      <w:pPr>
        <w:pStyle w:val="BodyText"/>
      </w:pPr>
      <w:r>
        <w:t xml:space="preserve">[39] A. Ben-Tal et al.,</w:t>
      </w:r>
      <w:r>
        <w:t xml:space="preserve"> </w:t>
      </w:r>
      <w:r>
        <w:rPr>
          <w:iCs/>
          <w:i/>
        </w:rPr>
        <w:t xml:space="preserve">Robust Optimization</w:t>
      </w:r>
      <w:r>
        <w:t xml:space="preserve">. Princeton Univ. Press, 2009.</w:t>
      </w:r>
    </w:p>
    <w:p>
      <w:pPr>
        <w:pStyle w:val="BodyText"/>
      </w:pPr>
      <w:r>
        <w:t xml:space="preserve">[40] J. R. Birge and F. Louveaux,</w:t>
      </w:r>
      <w:r>
        <w:t xml:space="preserve"> </w:t>
      </w:r>
      <w:r>
        <w:rPr>
          <w:iCs/>
          <w:i/>
        </w:rPr>
        <w:t xml:space="preserve">Introduction to Stochastic Programming</w:t>
      </w:r>
      <w:r>
        <w:t xml:space="preserve">, 2nd ed. Springer, 2011.</w:t>
      </w:r>
    </w:p>
    <w:p>
      <w:pPr>
        <w:pStyle w:val="BodyText"/>
      </w:pPr>
      <w:r>
        <w:t xml:space="preserve">[41] R. Li et al.,</w:t>
      </w:r>
      <w:r>
        <w:t xml:space="preserve"> </w:t>
      </w:r>
      <w:r>
        <w:t xml:space="preserve">“</w:t>
      </w:r>
      <w:r>
        <w:t xml:space="preserve">Deep Reinforcement Learning for Resource Management in Network Slicing,</w:t>
      </w:r>
      <w:r>
        <w:t xml:space="preserve">”</w:t>
      </w:r>
      <w:r>
        <w:t xml:space="preserve"> </w:t>
      </w:r>
      <w:r>
        <w:rPr>
          <w:iCs/>
          <w:i/>
        </w:rPr>
        <w:t xml:space="preserve">IEEE Access</w:t>
      </w:r>
      <w:r>
        <w:t xml:space="preserve">, vol. 6, pp. 74429–74441, 2018, doi: 10.1109/ACCESS.2018.2885583.</w:t>
      </w:r>
    </w:p>
    <w:p>
      <w:pPr>
        <w:pStyle w:val="BodyText"/>
      </w:pPr>
      <w:r>
        <w:t xml:space="preserve">[42] V. Mnih et al.,</w:t>
      </w:r>
      <w:r>
        <w:t xml:space="preserve"> </w:t>
      </w:r>
      <w:r>
        <w:t xml:space="preserve">“</w:t>
      </w:r>
      <w:r>
        <w:t xml:space="preserve">Human-level control through deep reinforcement learning,</w:t>
      </w:r>
      <w:r>
        <w:t xml:space="preserve">”</w:t>
      </w:r>
      <w:r>
        <w:t xml:space="preserve"> </w:t>
      </w:r>
      <w:r>
        <w:rPr>
          <w:iCs/>
          <w:i/>
        </w:rPr>
        <w:t xml:space="preserve">Nature</w:t>
      </w:r>
      <w:r>
        <w:t xml:space="preserve">, vol. 518, no. 7540, pp. 529–533, Feb. 2015, doi: 10.1038/nature14236.</w:t>
      </w:r>
    </w:p>
    <w:p>
      <w:pPr>
        <w:pStyle w:val="BodyText"/>
      </w:pPr>
      <w:r>
        <w:t xml:space="preserve">[43] C. Benzaid and T. Taleb,</w:t>
      </w:r>
      <w:r>
        <w:t xml:space="preserve"> </w:t>
      </w:r>
      <w:r>
        <w:t xml:space="preserve">“</w:t>
      </w:r>
      <w:r>
        <w:t xml:space="preserve">AI-Driven Zero Touch Network and Service Management in 5G and Beyond: Challenges and Research Directions,</w:t>
      </w:r>
      <w:r>
        <w:t xml:space="preserve">”</w:t>
      </w:r>
      <w:r>
        <w:t xml:space="preserve"> </w:t>
      </w:r>
      <w:r>
        <w:rPr>
          <w:iCs/>
          <w:i/>
        </w:rPr>
        <w:t xml:space="preserve">IEEE Netw.</w:t>
      </w:r>
      <w:r>
        <w:t xml:space="preserve">, vol. 34, no. 2, pp. 186–194, Mar./Apr. 2020, doi: 10.1109/MNET.001.1900252.</w:t>
      </w:r>
    </w:p>
    <w:p>
      <w:pPr>
        <w:pStyle w:val="BodyText"/>
      </w:pPr>
      <w:r>
        <w:t xml:space="preserve">[44] R. J. Hyndman and A. B. Koehler,</w:t>
      </w:r>
      <w:r>
        <w:t xml:space="preserve"> </w:t>
      </w:r>
      <w:r>
        <w:t xml:space="preserve">“</w:t>
      </w:r>
      <w:r>
        <w:t xml:space="preserve">Another look at measures of forecast accuracy,</w:t>
      </w:r>
      <w:r>
        <w:t xml:space="preserve">”</w:t>
      </w:r>
      <w:r>
        <w:t xml:space="preserve"> </w:t>
      </w:r>
      <w:r>
        <w:rPr>
          <w:iCs/>
          <w:i/>
        </w:rPr>
        <w:t xml:space="preserve">Int. J. Forecasting</w:t>
      </w:r>
      <w:r>
        <w:t xml:space="preserve">, vol. 22, no. 4, pp. 679–688, Oct.–Dec. 2006, doi: 10.1016/j.ijforecast.2006.03.001.</w:t>
      </w:r>
    </w:p>
    <w:p>
      <w:pPr>
        <w:pStyle w:val="BodyText"/>
      </w:pPr>
      <w:r>
        <w:t xml:space="preserve">[45] L. Breiman,</w:t>
      </w:r>
      <w:r>
        <w:t xml:space="preserve"> </w:t>
      </w:r>
      <w:r>
        <w:t xml:space="preserve">“</w:t>
      </w:r>
      <w:r>
        <w:t xml:space="preserve">Random Forests,</w:t>
      </w:r>
      <w:r>
        <w:t xml:space="preserve">”</w:t>
      </w:r>
      <w:r>
        <w:t xml:space="preserve"> </w:t>
      </w:r>
      <w:r>
        <w:rPr>
          <w:iCs/>
          <w:i/>
        </w:rPr>
        <w:t xml:space="preserve">Mach. Learn.</w:t>
      </w:r>
      <w:r>
        <w:t xml:space="preserve">, vol. 45, no. 1, pp. 5–32, Oct. 2001, doi: 10.1023/A:1010933404324.</w:t>
      </w:r>
    </w:p>
    <w:p>
      <w:pPr>
        <w:pStyle w:val="BodyText"/>
      </w:pPr>
      <w:r>
        <w:t xml:space="preserve">[46] A. J. Smola and B. Schölkopf,</w:t>
      </w:r>
      <w:r>
        <w:t xml:space="preserve"> </w:t>
      </w:r>
      <w:r>
        <w:t xml:space="preserve">“</w:t>
      </w:r>
      <w:r>
        <w:t xml:space="preserve">A tutorial on support vector regression,</w:t>
      </w:r>
      <w:r>
        <w:t xml:space="preserve">”</w:t>
      </w:r>
      <w:r>
        <w:t xml:space="preserve"> </w:t>
      </w:r>
      <w:r>
        <w:rPr>
          <w:iCs/>
          <w:i/>
        </w:rPr>
        <w:t xml:space="preserve">Stat. Comput.</w:t>
      </w:r>
      <w:r>
        <w:t xml:space="preserve">, vol. 14, no. 3, pp. 199–222, Aug. 2004, doi: 10.1023/B:STCO.0000035301.49549.88.</w:t>
      </w:r>
    </w:p>
    <w:p>
      <w:pPr>
        <w:pStyle w:val="BodyText"/>
      </w:pPr>
      <w:r>
        <w:t xml:space="preserve">[47] R. J. Hyndman and Y. Khandakar,</w:t>
      </w:r>
      <w:r>
        <w:t xml:space="preserve"> </w:t>
      </w:r>
      <w:r>
        <w:t xml:space="preserve">“</w:t>
      </w:r>
      <w:r>
        <w:t xml:space="preserve">Automatic Time Series Forecasting: The forecast Package for R,</w:t>
      </w:r>
      <w:r>
        <w:t xml:space="preserve">”</w:t>
      </w:r>
      <w:r>
        <w:t xml:space="preserve"> </w:t>
      </w:r>
      <w:r>
        <w:rPr>
          <w:iCs/>
          <w:i/>
        </w:rPr>
        <w:t xml:space="preserve">J. Stat. Softw.</w:t>
      </w:r>
      <w:r>
        <w:t xml:space="preserve">, vol. 27, no. 3, pp. 1–22, 2008, doi: 10.18637/jss.v027.i03.</w:t>
      </w:r>
    </w:p>
    <w:p>
      <w:pPr>
        <w:pStyle w:val="BodyText"/>
      </w:pPr>
      <w:r>
        <w:t xml:space="preserve">[48] M. Giordani et al.,</w:t>
      </w:r>
      <w:r>
        <w:t xml:space="preserve"> </w:t>
      </w:r>
      <w:r>
        <w:t xml:space="preserve">“</w:t>
      </w:r>
      <w:r>
        <w:t xml:space="preserve">Toward 6G Networks: Use Cases and Technologies,</w:t>
      </w:r>
      <w:r>
        <w:t xml:space="preserve">”</w:t>
      </w:r>
      <w:r>
        <w:t xml:space="preserve"> </w:t>
      </w:r>
      <w:r>
        <w:rPr>
          <w:iCs/>
          <w:i/>
        </w:rPr>
        <w:t xml:space="preserve">IEEE Commun. Mag.</w:t>
      </w:r>
      <w:r>
        <w:t xml:space="preserve">, vol. 58, no. 3, pp. 55–61, Mar. 2020, doi: 10.1109/MCOM.001.1900411.</w:t>
      </w:r>
    </w:p>
    <w:p>
      <w:pPr>
        <w:pStyle w:val="BodyText"/>
      </w:pPr>
      <w:r>
        <w:t xml:space="preserve">[49] S. J. Pan and Q. Yang,</w:t>
      </w:r>
      <w:r>
        <w:t xml:space="preserve"> </w:t>
      </w:r>
      <w:r>
        <w:t xml:space="preserve">“</w:t>
      </w:r>
      <w:r>
        <w:t xml:space="preserve">A Survey on Transfer Learning,</w:t>
      </w:r>
      <w:r>
        <w:t xml:space="preserve">”</w:t>
      </w:r>
      <w:r>
        <w:t xml:space="preserve"> </w:t>
      </w:r>
      <w:r>
        <w:rPr>
          <w:iCs/>
          <w:i/>
        </w:rPr>
        <w:t xml:space="preserve">IEEE Trans. Knowl. Data Eng.</w:t>
      </w:r>
      <w:r>
        <w:t xml:space="preserve">, vol. 22, no. 10, pp. 1345–1359, Oct. 2010, doi: 10.1109/TKDE.2009.191.</w:t>
      </w:r>
    </w:p>
    <w:p>
      <w:pPr>
        <w:pStyle w:val="BodyText"/>
      </w:pPr>
      <w:r>
        <w:t xml:space="preserve">[50] J. Konečný et al.,</w:t>
      </w:r>
      <w:r>
        <w:t xml:space="preserve"> </w:t>
      </w:r>
      <w:r>
        <w:t xml:space="preserve">“</w:t>
      </w:r>
      <w:r>
        <w:t xml:space="preserve">Federated Learning: Strategies for Improving Communication Efficiency,</w:t>
      </w:r>
      <w:r>
        <w:t xml:space="preserve">”</w:t>
      </w:r>
      <w:r>
        <w:t xml:space="preserve"> </w:t>
      </w:r>
      <w:r>
        <w:rPr>
          <w:iCs/>
          <w:i/>
        </w:rPr>
        <w:t xml:space="preserve">arXiv:1610.05492</w:t>
      </w:r>
      <w:r>
        <w:t xml:space="preserve">, 2016.</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