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LSTM-Based Traffic Prediction for Proactive Resource Management in 5G Networks</w:t>
      </w:r>
    </w:p>
    <w:p/>
    <w:p>
      <w:pPr>
        <w:pStyle w:val="Heading1"/>
      </w:pPr>
      <w:r>
        <w:rPr>
          <w:rFonts w:ascii="Times New Roman" w:hAnsi="Times New Roman"/>
        </w:rPr>
        <w:t>Abstract</w:t>
      </w:r>
    </w:p>
    <w:p>
      <w:pPr/>
      <w:r>
        <w:rPr>
          <w:rFonts w:ascii="Times New Roman" w:hAnsi="Times New Roman"/>
          <w:sz w:val="20"/>
        </w:rPr>
        <w:t>Abstract—Efficient resource management in fifth-generation (5G) networks demands accurate traffic prediction under heterogeneous service requirements. This paper presents a five-layer LSTM architecture integrating multi-resolution BiLSTM parallel branches, Bahdanau attention, and Monte Carlo Dropout uncertainty quantification for proactive resource management in 5G networks. The proposed model achieves RMSE=3.89, MAE=2.87, MAPE=8.1%, and R²=0.94 on the Milano Telecom Italia dataset (1-hour horizon), outperforming nine alternative methods with statistically significant improvements (p&lt;0.01, Diebold-Mariano test). Evaluation across three datasets of diverse nature (Milano, Shanghai Telecom, synthetic 5G) confirms consistent superiority. Integrated with robust optimization using ellipsoidal uncertainty sets and stochastic programming with CVaR, the framework reduces blocking rate by 40.9%, end-to-end latency by 31.2%, and energy consumption by 26.7% versus reactive scheduling. Five complete algorithms covering training, real-time inference, resource allocation, online adaptation, and multi-objective optimization are presented with reproducible PyTorch implementation.</w:t>
      </w:r>
    </w:p>
    <w:p>
      <w:pPr/>
      <w:r>
        <w:rPr>
          <w:rFonts w:ascii="Times New Roman" w:hAnsi="Times New Roman"/>
          <w:sz w:val="20"/>
        </w:rPr>
        <w:t>Index Terms—LSTM, traffic prediction, 5G networks, proactive resource management, Bahdanau attention, multi-resolution architecture, robust optimization, network slicing, Monte Carlo Dropout, machine learning.</w:t>
      </w:r>
    </w:p>
    <w:p>
      <w:pPr>
        <w:pStyle w:val="Heading1"/>
      </w:pPr>
      <w:r>
        <w:rPr>
          <w:rFonts w:ascii="Times New Roman" w:hAnsi="Times New Roman"/>
        </w:rPr>
        <w:t>I. Introduction</w:t>
      </w:r>
    </w:p>
    <w:p>
      <w:pPr>
        <w:pStyle w:val="Heading2"/>
      </w:pPr>
      <w:r>
        <w:rPr>
          <w:rFonts w:ascii="Times New Roman" w:hAnsi="Times New Roman"/>
        </w:rPr>
        <w:t>I.A. Context and Motivation for 5G Networks</w:t>
      </w:r>
    </w:p>
    <w:p>
      <w:pPr/>
      <w:r>
        <w:rPr>
          <w:rFonts w:ascii="Times New Roman" w:hAnsi="Times New Roman"/>
          <w:sz w:val="20"/>
        </w:rPr>
        <w:t>Fifth-generation mobile networks (5G) represent a fundamental transformation in telecommunications infrastructure, defined by three complementary service categories with radically different Quality of Service (QoS) profiles. Enhanced Mobile Broadband (eMBB) targets peak data rates of 20 Gb/s and average rates of 100 Mb/s per user, serving multimedia streaming, augmented/virtual reality, and high-definition video conferencing applications. Ultra-Reliable Low-Latency Communications (URLLC) requires end-to-end latency below 1 ms with reliability exceeding 99.999%, enabling mission-critical applications such as industrial automation, autonomous vehicles, and remote surgery. Massive Machine-Type Communications (mMTC) supports densities of up to 10^6 devices/km², with sporadic transmissions and ultra-low energy consumption for IoT sensors and smart city infrastructure.</w:t>
      </w:r>
    </w:p>
    <w:p>
      <w:pPr/>
      <w:r>
        <w:rPr>
          <w:rFonts w:ascii="Times New Roman" w:hAnsi="Times New Roman"/>
          <w:sz w:val="20"/>
        </w:rPr>
        <w:t>The coexistence of these three service types on shared physical infrastructure is achieved through network slicing [4], which creates logically isolated virtual networks over common hardware. Each slice receives dedicated radio resources (Physical Resource Blocks, PRBs), processing capacity, and QoS guarantees, while sharing the underlying base stations and spectrum.</w:t>
      </w:r>
    </w:p>
    <w:p>
      <w:pPr/>
      <w:r>
        <w:rPr>
          <w:rFonts w:ascii="Times New Roman" w:hAnsi="Times New Roman"/>
          <w:sz w:val="20"/>
        </w:rPr>
        <w:t>Traffic in 5G networks exhibits complex characteristics that complicate efficient management: multi-scale temporal variability (seconds to weeks), non-stationarity due to special events and behavioral changes, high spatial correlation between neighboring cells, and strong service heterogeneity. These characteristics make real-time reactive resource management inherently suboptimal: by the time traffic peaks are detected, it is too late to allocate sufficient resources without service degradation.</w:t>
      </w:r>
    </w:p>
    <w:p>
      <w:pPr>
        <w:pStyle w:val="Heading2"/>
      </w:pPr>
      <w:r>
        <w:rPr>
          <w:rFonts w:ascii="Times New Roman" w:hAnsi="Times New Roman"/>
        </w:rPr>
        <w:t>I.B. Long Short-Term Memory as Enabling Technology</w:t>
      </w:r>
    </w:p>
    <w:p>
      <w:pPr/>
      <w:r>
        <w:rPr>
          <w:rFonts w:ascii="Times New Roman" w:hAnsi="Times New Roman"/>
          <w:sz w:val="20"/>
        </w:rPr>
        <w:t>Long Short-Term Memory (LSTM) neural networks, introduced by Hochreiter and Schmidhuber in 1997 [11], emerge as the natural solution for 5G traffic prediction due to their proven capacity to model temporal dependencies at multiple scales. Unlike conventional statistical methods (ARIMA, SARIMA) that assume linearity and stationarity, LSTMs capture nonlinear dynamics and long-term dependencies without explicit modeling assumptions.</w:t>
      </w:r>
    </w:p>
    <w:p>
      <w:pPr/>
      <w:r>
        <w:rPr>
          <w:rFonts w:ascii="Times New Roman" w:hAnsi="Times New Roman"/>
          <w:sz w:val="20"/>
        </w:rPr>
        <w:t>The addition of attention mechanisms [15], [31], [32] further amplifies predictive capabilities: instead of compressing all historical information into a fixed-size vector, attention allows the model to selectively focus on the most relevant historical instants for each prediction step. This is particularly valuable for traffic with periodic patterns (daily, weekly) and abrupt changes due to events.</w:t>
      </w:r>
    </w:p>
    <w:p>
      <w:pPr/>
      <w:r>
        <w:rPr>
          <w:rFonts w:ascii="Times New Roman" w:hAnsi="Times New Roman"/>
          <w:sz w:val="20"/>
        </w:rPr>
        <w:t>The integration of LSTM prediction with robust and stochastic optimization for proactive resource management represents an emerging research frontier at the intersection of deep learning and operations research, with direct applications to 5G network management [7], [8].</w:t>
      </w:r>
    </w:p>
    <w:p>
      <w:pPr>
        <w:pStyle w:val="Heading2"/>
      </w:pPr>
      <w:r>
        <w:rPr>
          <w:rFonts w:ascii="Times New Roman" w:hAnsi="Times New Roman"/>
        </w:rPr>
        <w:t>I.C. Comparative Table with State of the Art</w:t>
      </w:r>
    </w:p>
    <w:p>
      <w:pPr/>
      <w:r>
        <w:rPr>
          <w:rFonts w:ascii="Times New Roman" w:hAnsi="Times New Roman"/>
          <w:sz w:val="20"/>
        </w:rPr>
        <w:t>The following table contextualizes the contributions of this article with respect to recent proposals in the literature, making explicit which technical dimensions this work advances beyond prior art.</w:t>
      </w:r>
    </w:p>
    <w:p>
      <w:r>
        <w:rPr>
          <w:rFonts w:ascii="Times New Roman" w:hAnsi="Times New Roman"/>
          <w:b/>
          <w:sz w:val="18"/>
        </w:rPr>
        <w:t>TABLE 0. Comparison with State of the Art.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rFonts w:ascii="Times New Roman" w:hAnsi="Times New Roman"/>
                <w:b/>
                <w:sz w:val="18"/>
              </w:rPr>
              <w:t>Work</w:t>
            </w:r>
          </w:p>
        </w:tc>
        <w:tc>
          <w:tcPr>
            <w:tcW w:type="dxa" w:w="960"/>
          </w:tcPr>
          <w:p>
            <w:r>
              <w:rPr>
                <w:rFonts w:ascii="Times New Roman" w:hAnsi="Times New Roman"/>
                <w:b/>
                <w:sz w:val="18"/>
              </w:rPr>
              <w:t>Multi-Res BiLSTM</w:t>
            </w:r>
          </w:p>
        </w:tc>
        <w:tc>
          <w:tcPr>
            <w:tcW w:type="dxa" w:w="960"/>
          </w:tcPr>
          <w:p>
            <w:r>
              <w:rPr>
                <w:rFonts w:ascii="Times New Roman" w:hAnsi="Times New Roman"/>
                <w:b/>
                <w:sz w:val="18"/>
              </w:rPr>
              <w:t>Bahdanau Attn</w:t>
            </w:r>
          </w:p>
        </w:tc>
        <w:tc>
          <w:tcPr>
            <w:tcW w:type="dxa" w:w="960"/>
          </w:tcPr>
          <w:p>
            <w:r>
              <w:rPr>
                <w:rFonts w:ascii="Times New Roman" w:hAnsi="Times New Roman"/>
                <w:b/>
                <w:sz w:val="18"/>
              </w:rPr>
              <w:t>MC Dropout</w:t>
            </w:r>
          </w:p>
        </w:tc>
        <w:tc>
          <w:tcPr>
            <w:tcW w:type="dxa" w:w="960"/>
          </w:tcPr>
          <w:p>
            <w:r>
              <w:rPr>
                <w:rFonts w:ascii="Times New Roman" w:hAnsi="Times New Roman"/>
                <w:b/>
                <w:sz w:val="18"/>
              </w:rPr>
              <w:t>Robust Opt.</w:t>
            </w:r>
          </w:p>
        </w:tc>
        <w:tc>
          <w:tcPr>
            <w:tcW w:type="dxa" w:w="960"/>
          </w:tcPr>
          <w:p>
            <w:r>
              <w:rPr>
                <w:rFonts w:ascii="Times New Roman" w:hAnsi="Times New Roman"/>
                <w:b/>
                <w:sz w:val="18"/>
              </w:rPr>
              <w:t>Stoch. Prog. CVaR</w:t>
            </w:r>
          </w:p>
        </w:tc>
        <w:tc>
          <w:tcPr>
            <w:tcW w:type="dxa" w:w="960"/>
          </w:tcPr>
          <w:p>
            <w:r>
              <w:rPr>
                <w:rFonts w:ascii="Times New Roman" w:hAnsi="Times New Roman"/>
                <w:b/>
                <w:sz w:val="18"/>
              </w:rPr>
              <w:t>Multi-Dataset</w:t>
            </w:r>
          </w:p>
        </w:tc>
        <w:tc>
          <w:tcPr>
            <w:tcW w:type="dxa" w:w="960"/>
          </w:tcPr>
          <w:p>
            <w:r>
              <w:rPr>
                <w:rFonts w:ascii="Times New Roman" w:hAnsi="Times New Roman"/>
                <w:b/>
                <w:sz w:val="18"/>
              </w:rPr>
              <w:t>Online Update</w:t>
            </w:r>
          </w:p>
        </w:tc>
        <w:tc>
          <w:tcPr>
            <w:tcW w:type="dxa" w:w="960"/>
          </w:tcPr>
          <w:p>
            <w:r>
              <w:rPr>
                <w:rFonts w:ascii="Times New Roman" w:hAnsi="Times New Roman"/>
                <w:b/>
                <w:sz w:val="18"/>
              </w:rPr>
              <w:t>KPI Eval.</w:t>
            </w:r>
          </w:p>
        </w:tc>
      </w:tr>
      <w:tr>
        <w:tc>
          <w:tcPr>
            <w:tcW w:type="dxa" w:w="960"/>
          </w:tcPr>
          <w:p>
            <w:r>
              <w:rPr>
                <w:rFonts w:ascii="Times New Roman" w:hAnsi="Times New Roman"/>
                <w:sz w:val="18"/>
              </w:rPr>
              <w:t>Huang et al. [9]</w:t>
            </w:r>
          </w:p>
        </w:tc>
        <w:tc>
          <w:tcPr>
            <w:tcW w:type="dxa" w:w="960"/>
          </w:tcPr>
          <w:p>
            <w:r>
              <w:rPr>
                <w:rFonts w:ascii="Times New Roman" w:hAnsi="Times New Roman"/>
                <w:sz w:val="18"/>
              </w:rPr>
              <w:t>No</w:t>
            </w:r>
          </w:p>
        </w:tc>
        <w:tc>
          <w:tcPr>
            <w:tcW w:type="dxa" w:w="960"/>
          </w:tcPr>
          <w:p>
            <w:r>
              <w:rPr>
                <w:rFonts w:ascii="Times New Roman" w:hAnsi="Times New Roman"/>
                <w:sz w:val="18"/>
              </w:rPr>
              <w:t>Yes</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r>
      <w:tr>
        <w:tc>
          <w:tcPr>
            <w:tcW w:type="dxa" w:w="960"/>
          </w:tcPr>
          <w:p>
            <w:r>
              <w:rPr>
                <w:rFonts w:ascii="Times New Roman" w:hAnsi="Times New Roman"/>
                <w:sz w:val="18"/>
              </w:rPr>
              <w:t>Trinh et al. [10]</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r>
      <w:tr>
        <w:tc>
          <w:tcPr>
            <w:tcW w:type="dxa" w:w="960"/>
          </w:tcPr>
          <w:p>
            <w:r>
              <w:rPr>
                <w:rFonts w:ascii="Times New Roman" w:hAnsi="Times New Roman"/>
                <w:sz w:val="18"/>
              </w:rPr>
              <w:t>Zhang et al. [7]</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Yes</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No</w:t>
            </w:r>
          </w:p>
        </w:tc>
        <w:tc>
          <w:tcPr>
            <w:tcW w:type="dxa" w:w="960"/>
          </w:tcPr>
          <w:p>
            <w:r>
              <w:rPr>
                <w:rFonts w:ascii="Times New Roman" w:hAnsi="Times New Roman"/>
                <w:sz w:val="18"/>
              </w:rPr>
              <w:t>Yes</w:t>
            </w:r>
          </w:p>
        </w:tc>
      </w:tr>
      <w:tr>
        <w:tc>
          <w:tcPr>
            <w:tcW w:type="dxa" w:w="960"/>
          </w:tcPr>
          <w:p>
            <w:r>
              <w:rPr>
                <w:rFonts w:ascii="Times New Roman" w:hAnsi="Times New Roman"/>
                <w:sz w:val="18"/>
              </w:rPr>
              <w:t>This Work</w:t>
            </w:r>
          </w:p>
        </w:tc>
        <w:tc>
          <w:tcPr>
            <w:tcW w:type="dxa" w:w="960"/>
          </w:tcPr>
          <w:p>
            <w:r>
              <w:rPr>
                <w:rFonts w:ascii="Times New Roman" w:hAnsi="Times New Roman"/>
                <w:sz w:val="18"/>
              </w:rPr>
              <w:t>Yes</w:t>
            </w:r>
          </w:p>
        </w:tc>
        <w:tc>
          <w:tcPr>
            <w:tcW w:type="dxa" w:w="960"/>
          </w:tcPr>
          <w:p>
            <w:r>
              <w:rPr>
                <w:rFonts w:ascii="Times New Roman" w:hAnsi="Times New Roman"/>
                <w:sz w:val="18"/>
              </w:rPr>
              <w:t>Yes</w:t>
            </w:r>
          </w:p>
        </w:tc>
        <w:tc>
          <w:tcPr>
            <w:tcW w:type="dxa" w:w="960"/>
          </w:tcPr>
          <w:p>
            <w:r>
              <w:rPr>
                <w:rFonts w:ascii="Times New Roman" w:hAnsi="Times New Roman"/>
                <w:sz w:val="18"/>
              </w:rPr>
              <w:t>Yes</w:t>
            </w:r>
          </w:p>
        </w:tc>
        <w:tc>
          <w:tcPr>
            <w:tcW w:type="dxa" w:w="960"/>
          </w:tcPr>
          <w:p>
            <w:r>
              <w:rPr>
                <w:rFonts w:ascii="Times New Roman" w:hAnsi="Times New Roman"/>
                <w:sz w:val="18"/>
              </w:rPr>
              <w:t>Yes</w:t>
            </w:r>
          </w:p>
        </w:tc>
        <w:tc>
          <w:tcPr>
            <w:tcW w:type="dxa" w:w="960"/>
          </w:tcPr>
          <w:p>
            <w:r>
              <w:rPr>
                <w:rFonts w:ascii="Times New Roman" w:hAnsi="Times New Roman"/>
                <w:sz w:val="18"/>
              </w:rPr>
              <w:t>Yes</w:t>
            </w:r>
          </w:p>
        </w:tc>
        <w:tc>
          <w:tcPr>
            <w:tcW w:type="dxa" w:w="960"/>
          </w:tcPr>
          <w:p>
            <w:r>
              <w:rPr>
                <w:rFonts w:ascii="Times New Roman" w:hAnsi="Times New Roman"/>
                <w:sz w:val="18"/>
              </w:rPr>
              <w:t>Yes</w:t>
            </w:r>
          </w:p>
        </w:tc>
        <w:tc>
          <w:tcPr>
            <w:tcW w:type="dxa" w:w="960"/>
          </w:tcPr>
          <w:p>
            <w:r>
              <w:rPr>
                <w:rFonts w:ascii="Times New Roman" w:hAnsi="Times New Roman"/>
                <w:sz w:val="18"/>
              </w:rPr>
              <w:t>Yes</w:t>
            </w:r>
          </w:p>
        </w:tc>
        <w:tc>
          <w:tcPr>
            <w:tcW w:type="dxa" w:w="960"/>
          </w:tcPr>
          <w:p>
            <w:r>
              <w:rPr>
                <w:rFonts w:ascii="Times New Roman" w:hAnsi="Times New Roman"/>
                <w:sz w:val="18"/>
              </w:rPr>
              <w:t>Yes</w:t>
            </w:r>
          </w:p>
        </w:tc>
      </w:tr>
    </w:tbl>
    <w:p/>
    <w:p>
      <w:pPr/>
      <w:r>
        <w:rPr>
          <w:rFonts w:ascii="Times New Roman" w:hAnsi="Times New Roman"/>
          <w:sz w:val="20"/>
        </w:rPr>
        <w:t>While Huang et al. [9] demonstrated LSTM with attention for mobile traffic prediction, their work focuses on single-resolution architectures without multi-resolution BiLSTM branches or integration with proactive resource management. Trinh et al. [10] use raw LSTM without the encoder-decoder Seq2Seq paradigm or robust optimization framework proposed here. The proposed framework is the first to jointly address multi-resolution temporal processing, Bahdanau attention, robust optimization with ellipsoidal uncertainty sets, and stochastic programming with CVaR in a unified system validated on three real-world and synthetic datasets.</w:t>
      </w:r>
    </w:p>
    <w:p>
      <w:pPr>
        <w:pStyle w:val="Heading2"/>
      </w:pPr>
      <w:r>
        <w:rPr>
          <w:rFonts w:ascii="Times New Roman" w:hAnsi="Times New Roman"/>
        </w:rPr>
        <w:t>I.D. Main Contributions</w:t>
      </w:r>
    </w:p>
    <w:p>
      <w:pPr/>
      <w:r>
        <w:rPr>
          <w:rFonts w:ascii="Times New Roman" w:hAnsi="Times New Roman"/>
          <w:sz w:val="20"/>
        </w:rPr>
        <w:t>The six original contributions of this article are as follows:</w:t>
      </w:r>
    </w:p>
    <w:p>
      <w:pPr/>
      <w:r>
        <w:rPr>
          <w:rFonts w:ascii="Times New Roman" w:hAnsi="Times New Roman"/>
          <w:sz w:val="20"/>
        </w:rPr>
        <w:t>1) Multi-resolution LSTM architecture with Bahdanau attention: Design of a five-layer functional architecture that combines parallel BiLSTM branches at different temporal resolutions, a resolution attention fusion mechanism, and an encoder-decoder with Bahdanau attention for multi-horizon Seq2Seq prediction with uncertainty quantification via Monte Carlo Dropout.</w:t>
      </w:r>
    </w:p>
    <w:p>
      <w:pPr/>
      <w:r>
        <w:rPr>
          <w:rFonts w:ascii="Times New Roman" w:hAnsi="Times New Roman"/>
          <w:sz w:val="20"/>
        </w:rPr>
        <w:t>2) Proactive 5G resource management framework: Formulation of a unified framework that combines LSTM prediction with robust optimization (ellipsoidal uncertainty sets) and stochastic two-stage programming (CVaR) for proactive slice adaptation and cell activation under prediction uncertainty.</w:t>
      </w:r>
    </w:p>
    <w:p>
      <w:pPr/>
      <w:r>
        <w:rPr>
          <w:rFonts w:ascii="Times New Roman" w:hAnsi="Times New Roman"/>
          <w:sz w:val="20"/>
        </w:rPr>
        <w:t>3) Five complete step-by-step algorithms: Detailed presentation of Algorithms 1–5 covering training with regularization and early stopping, real-time inference with MC Dropout confidence intervals, robust resource allocation, online update with CUSUM drift detection, and multi-objective optimization with NSGA-II.</w:t>
      </w:r>
    </w:p>
    <w:p>
      <w:pPr/>
      <w:r>
        <w:rPr>
          <w:rFonts w:ascii="Times New Roman" w:hAnsi="Times New Roman"/>
          <w:sz w:val="20"/>
        </w:rPr>
        <w:t>4) Multi-dataset validation with exhaustive comparative analysis: Evaluation on three datasets of different nature (Milano Telecom Italia, Shanghai Telecom, synthetic 5G) comparing 9 alternative methods with statistical significance testing (Diebold-Mariano test, p&lt;0.01).</w:t>
      </w:r>
    </w:p>
    <w:p>
      <w:pPr/>
      <w:r>
        <w:rPr>
          <w:rFonts w:ascii="Times New Roman" w:hAnsi="Times New Roman"/>
          <w:sz w:val="20"/>
        </w:rPr>
        <w:t>5) Interpretability analysis via attention weights: Visualization and analysis of attention weight heat maps showing semantically significant patterns (correlation with periodic traffic peaks, early detection of special events).</w:t>
      </w:r>
    </w:p>
    <w:p>
      <w:pPr/>
      <w:r>
        <w:rPr>
          <w:rFonts w:ascii="Times New Roman" w:hAnsi="Times New Roman"/>
          <w:sz w:val="20"/>
        </w:rPr>
        <w:t>6) Precise quantification of operational benefits: Measurement of improvements in four resource management KPIs (blocking rate, end-to-end latency, resource utilization, energy consumption), demonstrating reductions of 40.9%, 31.2%, 22.2% improvement, and 26.7% respectively versus reactive scheduling.</w:t>
      </w:r>
    </w:p>
    <w:p>
      <w:pPr>
        <w:pStyle w:val="Heading2"/>
      </w:pPr>
      <w:r>
        <w:rPr>
          <w:rFonts w:ascii="Times New Roman" w:hAnsi="Times New Roman"/>
        </w:rPr>
        <w:t>I.E. Article Organization</w:t>
      </w:r>
    </w:p>
    <w:p>
      <w:pPr/>
      <w:r>
        <w:rPr>
          <w:rFonts w:ascii="Times New Roman" w:hAnsi="Times New Roman"/>
          <w:sz w:val="20"/>
        </w:rPr>
        <w:t>The article is organized as follows: Section II presents the theoretical foundations of recurrent neural networks, LSTM architecture, bidirectional processing, loss functions, and the Adam optimizer. Section III characterizes 5G traffic with a composite model and description of datasets. Section IV details the proposed multi-resolution LSTM architecture with Bahdanau attention. Section V presents the proactive resource management framework with robust and stochastic optimization. Section VI describes the five complete algorithms. Section VII presents the experimental evaluation. Section VIII discusses limitations, challenges, and future directions. Section IX concludes.</w:t>
      </w:r>
    </w:p>
    <w:p>
      <w:pPr>
        <w:pStyle w:val="Heading1"/>
      </w:pPr>
      <w:r>
        <w:rPr>
          <w:rFonts w:ascii="Times New Roman" w:hAnsi="Times New Roman"/>
        </w:rPr>
        <w:t>II. Theoretical Foundations</w:t>
      </w:r>
    </w:p>
    <w:p>
      <w:pPr>
        <w:pStyle w:val="Heading2"/>
      </w:pPr>
      <w:r>
        <w:rPr>
          <w:rFonts w:ascii="Times New Roman" w:hAnsi="Times New Roman"/>
        </w:rPr>
        <w:t>II.A. Recurrent Neural Networks</w:t>
      </w:r>
    </w:p>
    <w:p>
      <w:pPr/>
      <w:r>
        <w:rPr>
          <w:rFonts w:ascii="Times New Roman" w:hAnsi="Times New Roman"/>
          <w:sz w:val="20"/>
        </w:rPr>
        <w:t>Recurrent neural networks (RNNs) constitute a class of architectures specifically designed to process sequential data by maintaining an internal state (hidden state) that compresses the history of past observations. For an input sequence x_1, x_2, ..., x_T, the hidden state h_t is updated at each step as:</w:t>
      </w:r>
    </w:p>
    <w:p>
      <w:pPr/>
      <w:r>
        <w:rPr>
          <w:rFonts w:ascii="Times New Roman" w:hAnsi="Times New Roman"/>
          <w:sz w:val="20"/>
        </w:rPr>
        <w:t xml:space="preserve">    h_t = f(W_h * h_{t-1} + W_x * x_t + b)</w:t>
      </w:r>
    </w:p>
    <w:p>
      <w:pPr/>
      <w:r>
        <w:rPr>
          <w:rFonts w:ascii="Times New Roman" w:hAnsi="Times New Roman"/>
          <w:sz w:val="20"/>
        </w:rPr>
        <w:t>where W_h, W_x are weight matrices, b is bias, and f(·) is the activation function, typically tanh.</w:t>
      </w:r>
    </w:p>
    <w:p>
      <w:pPr/>
      <w:r>
        <w:rPr>
          <w:rFonts w:ascii="Times New Roman" w:hAnsi="Times New Roman"/>
          <w:sz w:val="20"/>
        </w:rPr>
        <w:t>During training via Backpropagation Through Time (BPTT), the gradient of the loss with respect to the recurrent weights involves a product of Jacobians. For large T, this product can vanish exponentially if ‖∂h_k/∂h_{k-1}‖ &lt; 1, or explode if &gt; 1 [12], [13], making it practically impossible to learn dependencies spanning hundreds of steps with basic RNNs.</w:t>
      </w:r>
    </w:p>
    <w:p>
      <w:pPr>
        <w:pStyle w:val="Heading2"/>
      </w:pPr>
      <w:r>
        <w:rPr>
          <w:rFonts w:ascii="Times New Roman" w:hAnsi="Times New Roman"/>
        </w:rPr>
        <w:t>II.B. Long Short-Term Memory Architecture</w:t>
      </w:r>
    </w:p>
    <w:p>
      <w:pPr/>
      <w:r>
        <w:rPr>
          <w:rFonts w:ascii="Times New Roman" w:hAnsi="Times New Roman"/>
          <w:sz w:val="20"/>
        </w:rPr>
        <w:t>LSTM was designed by Hochreiter and Schmidhuber [11] to overcome the vanishing gradient problem through a gating mechanism that controls information flow. The LSTM cell introduces three gates and a cell state c_t that serves as long-term memory:</w:t>
      </w:r>
    </w:p>
    <w:p>
      <w:pPr/>
      <w:r>
        <w:rPr>
          <w:rFonts w:ascii="Times New Roman" w:hAnsi="Times New Roman"/>
          <w:sz w:val="20"/>
        </w:rPr>
        <w:t xml:space="preserve">    Forget gate:      f_t = σ(W_f [h_{t-1}, x_t] + b_f)                           (Eq. 1)</w:t>
      </w:r>
    </w:p>
    <w:p>
      <w:pPr/>
      <w:r>
        <w:rPr>
          <w:rFonts w:ascii="Times New Roman" w:hAnsi="Times New Roman"/>
          <w:sz w:val="20"/>
        </w:rPr>
        <w:t xml:space="preserve">    Input gate:       i_t = σ(W_i [h_{t-1}, x_t] + b_i)                           (Eq. 2)</w:t>
      </w:r>
    </w:p>
    <w:p>
      <w:pPr/>
      <w:r>
        <w:rPr>
          <w:rFonts w:ascii="Times New Roman" w:hAnsi="Times New Roman"/>
          <w:sz w:val="20"/>
        </w:rPr>
        <w:t xml:space="preserve">    Cell candidate:   ĉ_t = tanh(W_c [h_{t-1}, x_t] + b_c)                         (Eq. 3)</w:t>
      </w:r>
    </w:p>
    <w:p>
      <w:pPr/>
      <w:r>
        <w:rPr>
          <w:rFonts w:ascii="Times New Roman" w:hAnsi="Times New Roman"/>
          <w:sz w:val="20"/>
        </w:rPr>
        <w:t xml:space="preserve">    Cell state:       c_t = f_t ⊙ c_{t-1} + i_t ⊙ ĉ_t                    (Eq. 4)</w:t>
      </w:r>
    </w:p>
    <w:p>
      <w:pPr/>
      <w:r>
        <w:rPr>
          <w:rFonts w:ascii="Times New Roman" w:hAnsi="Times New Roman"/>
          <w:sz w:val="20"/>
        </w:rPr>
        <w:t xml:space="preserve">    Output gate:      o_t = σ(W_o [h_{t-1}, x_t] + b_o)                           (Eq. 5)</w:t>
      </w:r>
    </w:p>
    <w:p>
      <w:pPr/>
      <w:r>
        <w:rPr>
          <w:rFonts w:ascii="Times New Roman" w:hAnsi="Times New Roman"/>
          <w:sz w:val="20"/>
        </w:rPr>
        <w:t xml:space="preserve">    Hidden state:     h_t = o_t ⊙ tanh(c_t)                                         (Eq. 6)</w:t>
      </w:r>
    </w:p>
    <w:p>
      <w:pPr/>
      <w:r>
        <w:rPr>
          <w:rFonts w:ascii="Times New Roman" w:hAnsi="Times New Roman"/>
          <w:sz w:val="20"/>
        </w:rPr>
        <w:t>where σ is the sigmoid function, ⊙ is the Hadamard (element-wise) product, [·,·] denotes concatenation. The key to LSTM functioning is in the cell state update (Eq. 4): the gradient satisfies ∂c_t/∂c_{t-1} = f_t, which involves only element-wise multiplication rather than a full matrix product. When f_t ≈ 1, the gradient flows without attenuation, enabling the model to learn dependencies spanning hundreds of time steps.</w:t>
      </w:r>
    </w:p>
    <w:p>
      <w:pPr/>
      <w:r>
        <w:rPr>
          <w:rFonts w:ascii="Times New Roman" w:hAnsi="Times New Roman"/>
          <w:sz w:val="20"/>
        </w:rPr>
        <w:t>For multi-layer architectures, residual connections with layer normalization [20], [21] further improve gradient flow:</w:t>
      </w:r>
    </w:p>
    <w:p>
      <w:pPr/>
      <w:r>
        <w:rPr>
          <w:rFonts w:ascii="Times New Roman" w:hAnsi="Times New Roman"/>
          <w:sz w:val="20"/>
        </w:rPr>
        <w:t xml:space="preserve">    LayerNorm(h + F(h)) = (h + F(h) - μ) / √(σ² + ε) · γ + β    (Eq. 10)</w:t>
      </w:r>
    </w:p>
    <w:p>
      <w:pPr/>
      <w:r>
        <w:rPr>
          <w:rFonts w:ascii="Times New Roman" w:hAnsi="Times New Roman"/>
          <w:sz w:val="20"/>
        </w:rPr>
        <w:t>where γ, β are learnable parameters and μ, σ² are computed over features of each sample.</w:t>
      </w:r>
    </w:p>
    <w:p>
      <w:pPr>
        <w:pStyle w:val="Heading2"/>
      </w:pPr>
      <w:r>
        <w:rPr>
          <w:rFonts w:ascii="Times New Roman" w:hAnsi="Times New Roman"/>
        </w:rPr>
        <w:t>II.C. Bidirectional LSTM</w:t>
      </w:r>
    </w:p>
    <w:p>
      <w:pPr/>
      <w:r>
        <w:rPr>
          <w:rFonts w:ascii="Times New Roman" w:hAnsi="Times New Roman"/>
          <w:sz w:val="20"/>
        </w:rPr>
        <w:t>For processing complete historical windows, Bidirectional LSTM (BiLSTM) [22] processes each sequence in both temporal directions:</w:t>
      </w:r>
    </w:p>
    <w:p>
      <w:pPr/>
      <w:r>
        <w:rPr>
          <w:rFonts w:ascii="Times New Roman" w:hAnsi="Times New Roman"/>
          <w:sz w:val="20"/>
        </w:rPr>
        <w:t xml:space="preserve">    →h_t = →LSTM(x_t, →h_{t-1})                   (Eq. 11)</w:t>
      </w:r>
    </w:p>
    <w:p>
      <w:pPr/>
      <w:r>
        <w:rPr>
          <w:rFonts w:ascii="Times New Roman" w:hAnsi="Times New Roman"/>
          <w:sz w:val="20"/>
        </w:rPr>
        <w:t xml:space="preserve">    ←h_t = ←LSTM(x_t, ←h_{t+1})                   (Eq. 12)</w:t>
      </w:r>
    </w:p>
    <w:p>
      <w:pPr/>
      <w:r>
        <w:rPr>
          <w:rFonts w:ascii="Times New Roman" w:hAnsi="Times New Roman"/>
          <w:sz w:val="20"/>
        </w:rPr>
        <w:t>The final representation h_t^{bi} = [→h_t; ←h_t] concatenates both directions, providing richer contextual information. In the proposed architecture, BiLSTM is applied in the multi-resolution processing branches (Layer 2), where the entire input window is available and bidirectional processing captures both forward and backward temporal dependencies within each resolution branch.</w:t>
      </w:r>
    </w:p>
    <w:p>
      <w:pPr>
        <w:pStyle w:val="Heading2"/>
      </w:pPr>
      <w:r>
        <w:rPr>
          <w:rFonts w:ascii="Times New Roman" w:hAnsi="Times New Roman"/>
        </w:rPr>
        <w:t>II.D. Loss Functions</w:t>
      </w:r>
    </w:p>
    <w:p>
      <w:pPr/>
      <w:r>
        <w:rPr>
          <w:rFonts w:ascii="Times New Roman" w:hAnsi="Times New Roman"/>
          <w:sz w:val="20"/>
        </w:rPr>
        <w:t>For traffic prediction, the Huber Loss function with parameter δ = 1.0 is employed, combining the quadratic sensitivity of MSE for small errors with the robustness of MAE for outliers:</w:t>
      </w:r>
    </w:p>
    <w:p>
      <w:pPr/>
      <w:r>
        <w:rPr>
          <w:rFonts w:ascii="Times New Roman" w:hAnsi="Times New Roman"/>
          <w:sz w:val="20"/>
        </w:rPr>
        <w:t xml:space="preserve">    L_δ(y, ŷ) = { (1/2)(y-ŷ)^2              if |y-ŷ| ≤ δ      (Eq. 13)</w:t>
        <w:br/>
        <w:t xml:space="preserve">                { δ(|y-ŷ| - δ/2)         otherwise</w:t>
      </w:r>
    </w:p>
    <w:p>
      <w:pPr/>
      <w:r>
        <w:rPr>
          <w:rFonts w:ascii="Times New Roman" w:hAnsi="Times New Roman"/>
          <w:sz w:val="20"/>
        </w:rPr>
        <w:t>For multi-step prediction with horizon H, the loss incorporates decreasing weights by horizon:</w:t>
      </w:r>
    </w:p>
    <w:p>
      <w:pPr/>
      <w:r>
        <w:rPr>
          <w:rFonts w:ascii="Times New Roman" w:hAnsi="Times New Roman"/>
          <w:sz w:val="20"/>
        </w:rPr>
        <w:t xml:space="preserve">    L_{multi} = ∑_{τ=1}^{H} w_τ · L_δ(y_{t+τ}, ŷ_{t+τ})           (Eq. 14)</w:t>
      </w:r>
    </w:p>
    <w:p>
      <w:pPr/>
      <w:r>
        <w:rPr>
          <w:rFonts w:ascii="Times New Roman" w:hAnsi="Times New Roman"/>
          <w:sz w:val="20"/>
        </w:rPr>
        <w:t>where w_τ = e^{-λ(τ-1)/H} with λ = 0.5, giving greater importance to short horizons without neglecting long horizons.</w:t>
      </w:r>
    </w:p>
    <w:p>
      <w:pPr>
        <w:pStyle w:val="Heading2"/>
      </w:pPr>
      <w:r>
        <w:rPr>
          <w:rFonts w:ascii="Times New Roman" w:hAnsi="Times New Roman"/>
        </w:rPr>
        <w:t>II.E. Adam Optimizer</w:t>
      </w:r>
    </w:p>
    <w:p>
      <w:pPr/>
      <w:r>
        <w:rPr>
          <w:rFonts w:ascii="Times New Roman" w:hAnsi="Times New Roman"/>
          <w:sz w:val="20"/>
        </w:rPr>
        <w:t>The Adam optimizer [16] is the standard for LSTM training due to its robustness and fast convergence. It maintains exponential moving averages of the gradient m_t and its square v_t:</w:t>
      </w:r>
    </w:p>
    <w:p>
      <w:pPr/>
      <w:r>
        <w:rPr>
          <w:rFonts w:ascii="Times New Roman" w:hAnsi="Times New Roman"/>
          <w:sz w:val="20"/>
        </w:rPr>
        <w:t xml:space="preserve">    m_t = β_1 m_{t-1} + (1-β_1) g_t                              (Eq. 15)</w:t>
      </w:r>
    </w:p>
    <w:p>
      <w:pPr/>
      <w:r>
        <w:rPr>
          <w:rFonts w:ascii="Times New Roman" w:hAnsi="Times New Roman"/>
          <w:sz w:val="20"/>
        </w:rPr>
        <w:t xml:space="preserve">    v_t = β_2 v_{t-1} + (1-β_2) g_t^2                            (Eq. 16)</w:t>
      </w:r>
    </w:p>
    <w:p>
      <w:pPr/>
      <w:r>
        <w:rPr>
          <w:rFonts w:ascii="Times New Roman" w:hAnsi="Times New Roman"/>
          <w:sz w:val="20"/>
        </w:rPr>
        <w:t xml:space="preserve">    m̂_t = m_t/(1-β_1^t),  v̂_t = v_t/(1-β_2^t)                  (Eq. 17)</w:t>
      </w:r>
    </w:p>
    <w:p>
      <w:pPr/>
      <w:r>
        <w:rPr>
          <w:rFonts w:ascii="Times New Roman" w:hAnsi="Times New Roman"/>
          <w:sz w:val="20"/>
        </w:rPr>
        <w:t xml:space="preserve">    θ_{t+1} = θ_t - η m̂_t / (√v̂_t + ε)       (Eq. 18)</w:t>
      </w:r>
    </w:p>
    <w:p>
      <w:pPr/>
      <w:r>
        <w:rPr>
          <w:rFonts w:ascii="Times New Roman" w:hAnsi="Times New Roman"/>
          <w:sz w:val="20"/>
        </w:rPr>
        <w:t>with typical hyperparameters β_1=0.9, β_2=0.999, ε=10^{-8}, η=10^{-3}. To prevent gradient explosion, gradient clipping is applied limiting ‖∇‖ ≤ 5.0. L_2 regularization with λ = 10^{-4} and dropout rate p ∈ [0.2, 0.5] complete the regularization strategy.</w:t>
      </w:r>
    </w:p>
    <w:p>
      <w:pPr>
        <w:pStyle w:val="Heading1"/>
      </w:pPr>
      <w:r>
        <w:rPr>
          <w:rFonts w:ascii="Times New Roman" w:hAnsi="Times New Roman"/>
        </w:rPr>
        <w:t>III. 5G Traffic Characterization</w:t>
      </w:r>
    </w:p>
    <w:p>
      <w:pPr>
        <w:pStyle w:val="Heading2"/>
      </w:pPr>
      <w:r>
        <w:rPr>
          <w:rFonts w:ascii="Times New Roman" w:hAnsi="Times New Roman"/>
        </w:rPr>
        <w:t>III.A. Composite Traffic Model</w:t>
      </w:r>
    </w:p>
    <w:p>
      <w:pPr/>
      <w:r>
        <w:rPr>
          <w:rFonts w:ascii="Times New Roman" w:hAnsi="Times New Roman"/>
          <w:sz w:val="20"/>
        </w:rPr>
        <w:t>Aggregate traffic in a 5G cell is modeled as the superposition of multiple components with different temporal scales:</w:t>
      </w:r>
    </w:p>
    <w:p>
      <w:pPr/>
      <w:r>
        <w:rPr>
          <w:rFonts w:ascii="Times New Roman" w:hAnsi="Times New Roman"/>
          <w:sz w:val="20"/>
        </w:rPr>
        <w:t xml:space="preserve">    X(t) = T(t) + S(t) + C(t) + I(t) + ε(t)                (Eq. 20)</w:t>
      </w:r>
    </w:p>
    <w:p>
      <w:pPr/>
      <w:r>
        <w:rPr>
          <w:rFonts w:ascii="Times New Roman" w:hAnsi="Times New Roman"/>
          <w:sz w:val="20"/>
        </w:rPr>
        <w:t>where T(t) is the long-term trend (traffic growth over time), S(t) the seasonal component with daily and weekly periodicity (modeled as Fourier series with K=5 harmonics per period), C(t) the special event impact (sports, concerts, emergencies), I(t) the inter-cell spatial correlation (traffic redistribution among neighboring cells), and ε(t) ~ N(0, σ_ε^2) additive white noise.</w:t>
      </w:r>
    </w:p>
    <w:p>
      <w:pPr/>
      <w:r>
        <w:rPr>
          <w:rFonts w:ascii="Times New Roman" w:hAnsi="Times New Roman"/>
          <w:sz w:val="20"/>
        </w:rPr>
        <w:t>5G traffic exhibits four critical statistical properties that condition model design: (1) Non-stationarity due to trend and event components; (2) Heteroscedasticity with variance proportional to mean load; (3) Long-range dependence (Hurst exponent H &gt; 0.5) indicating persistent correlations; (4) Heavy tails in peak distribution, requiring Pareto or log-normal traffic volume models. The synthetic dataset supports up to 10^4 devices/km², consistent with mMTC 3GPP specifications.</w:t>
      </w:r>
    </w:p>
    <w:p>
      <w:pPr>
        <w:pStyle w:val="Heading2"/>
      </w:pPr>
      <w:r>
        <w:rPr>
          <w:rFonts w:ascii="Times New Roman" w:hAnsi="Times New Roman"/>
        </w:rPr>
        <w:t>III.B. Traffic Profiles by 5G Service Type</w:t>
      </w:r>
    </w:p>
    <w:p>
      <w:pPr/>
      <w:r>
        <w:rPr>
          <w:rFonts w:ascii="Times New Roman" w:hAnsi="Times New Roman"/>
          <w:sz w:val="20"/>
        </w:rPr>
        <w:t>The three 5G services generate traffic profiles with fundamentally different temporal characteristics, requiring specific modeling strategies:</w:t>
      </w:r>
    </w:p>
    <w:p>
      <w:pPr/>
      <w:r>
        <w:rPr>
          <w:rFonts w:ascii="Times New Roman" w:hAnsi="Times New Roman"/>
          <w:sz w:val="20"/>
        </w:rPr>
        <w:t>eMBB: Long sessions (10–60 min) with large-volume data transfers, log-normal or Pareto-distributed session sizes, strong daily periodicity with peaks during morning (8–10 h) and evening (19–22 h) hours, and spatial concentration near commercial and residential areas.</w:t>
      </w:r>
    </w:p>
    <w:p>
      <w:pPr/>
      <w:r>
        <w:rPr>
          <w:rFonts w:ascii="Times New Roman" w:hAnsi="Times New Roman"/>
          <w:sz w:val="20"/>
        </w:rPr>
        <w:t>URLLC: Small packets (&lt;100 bytes) with periodic or event-triggered arrivals. Semi-deterministic temporal pattern with quasi-constant activity representing less than 5% of capacity but with stringent latency constraints (&lt;1 ms). Requires pre-provisioning rather than reactive scheduling.</w:t>
      </w:r>
    </w:p>
    <w:p>
      <w:pPr/>
      <w:r>
        <w:rPr>
          <w:rFonts w:ascii="Times New Roman" w:hAnsi="Times New Roman"/>
          <w:sz w:val="20"/>
        </w:rPr>
        <w:t>mMTC: Sporadic aggregated transmissions from millions of devices. Low activity (&lt;5% of capacity) and relatively predictable. Critical for smart cities, utility monitoring, and industrial IoT, but with extreme device density challenging interference management.</w:t>
      </w:r>
    </w:p>
    <w:p>
      <w:pPr>
        <w:pStyle w:val="Heading2"/>
      </w:pPr>
      <w:r>
        <w:rPr>
          <w:rFonts w:ascii="Times New Roman" w:hAnsi="Times New Roman"/>
        </w:rPr>
        <w:t>III.C. Datasets and Preprocessing</w:t>
      </w:r>
    </w:p>
    <w:p>
      <w:pPr/>
      <w:r>
        <w:rPr>
          <w:rFonts w:ascii="Times New Roman" w:hAnsi="Times New Roman"/>
          <w:sz w:val="20"/>
        </w:rPr>
        <w:t>Three complementary datasets are used for exhaustive evaluation:</w:t>
      </w:r>
    </w:p>
    <w:p>
      <w:pPr/>
      <w:r>
        <w:rPr>
          <w:rFonts w:ascii="Times New Roman" w:hAnsi="Times New Roman"/>
          <w:sz w:val="20"/>
        </w:rPr>
        <w:t>Milano Dataset (Telecom Italia BigData Challenge) [26]: Network activity records on a grid of 100×100 cells (each 235×235 m) covering the city of Milan, Italy, over 2 months (November–December 2013) with 10-minute granularity. The dataset includes call activity, SMS, and internet traffic. After preprocessing, 61-day series are obtained with 8,784 15-minute samples per cell.</w:t>
      </w:r>
    </w:p>
    <w:p>
      <w:pPr/>
      <w:r>
        <w:rPr>
          <w:rFonts w:ascii="Times New Roman" w:hAnsi="Times New Roman"/>
          <w:sz w:val="20"/>
        </w:rPr>
        <w:t>Shanghai Telecom Dataset [28]: Real traffic data from base stations in Shanghai with 15-minute granularity over 6 months. Contains spatial and temporal correlation information between neighboring stations, valuable for validating spatial generalization.</w:t>
      </w:r>
    </w:p>
    <w:p>
      <w:pPr/>
      <w:r>
        <w:rPr>
          <w:rFonts w:ascii="Times New Roman" w:hAnsi="Times New Roman"/>
          <w:sz w:val="20"/>
        </w:rPr>
        <w:t>Synthetic 5G Dataset [29]: Generated with stochastic models calibrated to 3GPP specifications for the three service types (eMBB, URLLC, mMTC), simulating a heterogeneous network of 20 cells with 10^4 devices/km² for mMTC. Allows controlled evaluation under specific 5G conditions absent in historical datasets.</w:t>
      </w:r>
    </w:p>
    <w:p>
      <w:pPr/>
      <w:r>
        <w:rPr>
          <w:rFonts w:ascii="Times New Roman" w:hAnsi="Times New Roman"/>
          <w:sz w:val="20"/>
        </w:rPr>
        <w:t>Preprocessing follows five steps: (1) missing value detection and linear interpolation (&lt;2% in all datasets); (2) outlier removal using Z-score (|z|&gt;3.5) with cubic spline replacement; (3) min-max normalization to [0,1] per cell using training set statistics; (4) sequence windowing with lookback w=96 steps (24 hours at 15-min granularity); (5) stratified chronological split: 70% training, 15% validation, 15% test, preserving temporal order.</w:t>
      </w:r>
    </w:p>
    <w:p>
      <w:pPr>
        <w:pStyle w:val="Heading1"/>
      </w:pPr>
      <w:r>
        <w:rPr>
          <w:rFonts w:ascii="Times New Roman" w:hAnsi="Times New Roman"/>
        </w:rPr>
        <w:t>IV. Advanced LSTM Architecture for 5G Traffic Prediction</w:t>
      </w:r>
    </w:p>
    <w:p>
      <w:pPr>
        <w:pStyle w:val="Heading2"/>
      </w:pPr>
      <w:r>
        <w:rPr>
          <w:rFonts w:ascii="Times New Roman" w:hAnsi="Times New Roman"/>
        </w:rPr>
        <w:t>IV.A. Problem Formulation</w:t>
      </w:r>
    </w:p>
    <w:p>
      <w:pPr/>
      <w:r>
        <w:rPr>
          <w:rFonts w:ascii="Times New Roman" w:hAnsi="Times New Roman"/>
          <w:sz w:val="20"/>
        </w:rPr>
        <w:t>Given the traffic history X(t) = [X(t-w+1), ..., X(t)] together with exogenous variables e(t) (time of day, day of week, holiday indicators), the objective is to estimate the future traffic minimizing the expected loss. Three prediction paradigms are considered:</w:t>
      </w:r>
    </w:p>
    <w:p>
      <w:pPr/>
      <w:r>
        <w:rPr>
          <w:rFonts w:ascii="Times New Roman" w:hAnsi="Times New Roman"/>
          <w:sz w:val="20"/>
        </w:rPr>
        <w:t xml:space="preserve">    One-step-ahead:       X̂(t+1) = f_θ(X(t-w+1), ..., X(t))                   (Eq. 21)</w:t>
      </w:r>
    </w:p>
    <w:p>
      <w:pPr/>
      <w:r>
        <w:rPr>
          <w:rFonts w:ascii="Times New Roman" w:hAnsi="Times New Roman"/>
          <w:sz w:val="20"/>
        </w:rPr>
        <w:t xml:space="preserve">    Direct multi-step:    A separate model f_θ^(τ) is trained for each horizon τ.  (Eq. 22)</w:t>
      </w:r>
    </w:p>
    <w:p>
      <w:pPr/>
      <w:r>
        <w:rPr>
          <w:rFonts w:ascii="Times New Roman" w:hAnsi="Times New Roman"/>
          <w:sz w:val="20"/>
        </w:rPr>
        <w:t xml:space="preserve">    Seq2Seq:              [X̂(t+1),...,X̂(t+H)] = f_θ(X(t-w+1),...,X(t))      (Eq. 23)</w:t>
      </w:r>
    </w:p>
    <w:p>
      <w:pPr/>
      <w:r>
        <w:rPr>
          <w:rFonts w:ascii="Times New Roman" w:hAnsi="Times New Roman"/>
          <w:sz w:val="20"/>
        </w:rPr>
        <w:t>The proposed architecture implements the Seq2Seq paradigm via an encoder-decoder with attention, as it jointly optimizes for all horizons, captures inter-horizon dependencies, and requires a single model for the entire prediction window.</w:t>
      </w:r>
    </w:p>
    <w:p>
      <w:pPr>
        <w:pStyle w:val="Heading2"/>
      </w:pPr>
      <w:r>
        <w:rPr>
          <w:rFonts w:ascii="Times New Roman" w:hAnsi="Times New Roman"/>
        </w:rPr>
        <w:t>IV.B. Encoder-Decoder Architecture with Bahdanau Attention</w:t>
      </w:r>
    </w:p>
    <w:p>
      <w:pPr/>
      <w:r>
        <w:rPr>
          <w:rFonts w:ascii="Times New Roman" w:hAnsi="Times New Roman"/>
          <w:sz w:val="20"/>
        </w:rPr>
        <w:t>The encoder processes the fused multi-resolution representation of the input window and produces a sequence of T hidden state vectors:</w:t>
      </w:r>
    </w:p>
    <w:p>
      <w:pPr/>
      <w:r>
        <w:rPr>
          <w:rFonts w:ascii="Times New Roman" w:hAnsi="Times New Roman"/>
          <w:sz w:val="20"/>
        </w:rPr>
        <w:t xml:space="preserve">    h_t^{enc} = LSTM_{enc}(˜r_t, h_{t-1}^{enc})                          (Eq. 24)</w:t>
      </w:r>
    </w:p>
    <w:p>
      <w:pPr/>
      <w:r>
        <w:rPr>
          <w:rFonts w:ascii="Times New Roman" w:hAnsi="Times New Roman"/>
          <w:sz w:val="20"/>
        </w:rPr>
        <w:t>where ˜r_t is the fused multi-resolution representation of time step t (from Layer 3). The encoder has 2 LSTM layers with 256 units each, processing T=96 input steps and producing states {h_t^{enc}}_{t=1}^{T}.</w:t>
      </w:r>
    </w:p>
    <w:p>
      <w:pPr/>
      <w:r>
        <w:rPr>
          <w:rFonts w:ascii="Times New Roman" w:hAnsi="Times New Roman"/>
          <w:sz w:val="20"/>
        </w:rPr>
        <w:t>The decoder generates the prediction sequence step by step, dynamically conditioned on encoder states via attention:</w:t>
      </w:r>
    </w:p>
    <w:p>
      <w:pPr/>
      <w:r>
        <w:rPr>
          <w:rFonts w:ascii="Times New Roman" w:hAnsi="Times New Roman"/>
          <w:sz w:val="20"/>
        </w:rPr>
        <w:t xml:space="preserve">    h_τ^{dec} = LSTM_{dec}([y_{τ-1}; c_τ], h_{τ-1}^{dec})   (Eq. 25)</w:t>
      </w:r>
    </w:p>
    <w:p>
      <w:pPr/>
      <w:r>
        <w:rPr>
          <w:rFonts w:ascii="Times New Roman" w:hAnsi="Times New Roman"/>
          <w:sz w:val="20"/>
        </w:rPr>
        <w:t>where c_τ is the dynamic context vector from attention, h_0^{dec} = h_T^{enc} (initialization from the final encoder state), and y_0 = X(t) (the last observed value as seed for autoregressive generation).</w:t>
      </w:r>
    </w:p>
    <w:p>
      <w:pPr>
        <w:pStyle w:val="Heading2"/>
      </w:pPr>
      <w:r>
        <w:rPr>
          <w:rFonts w:ascii="Times New Roman" w:hAnsi="Times New Roman"/>
        </w:rPr>
        <w:t>IV.C. Bahdanau Attention Mechanism</w:t>
      </w:r>
    </w:p>
    <w:p>
      <w:pPr/>
      <w:r>
        <w:rPr>
          <w:rFonts w:ascii="Times New Roman" w:hAnsi="Times New Roman"/>
          <w:sz w:val="20"/>
        </w:rPr>
        <w:t>The Bahdanau attention mechanism [15] computes, for each decoder step τ, a context vector c_τ that is a convex combination of all encoder states, with weights reflecting the alignment between each historical instant and the current prediction step.</w:t>
      </w:r>
    </w:p>
    <w:p>
      <w:pPr/>
      <w:r>
        <w:rPr>
          <w:rFonts w:ascii="Times New Roman" w:hAnsi="Times New Roman"/>
          <w:sz w:val="20"/>
        </w:rPr>
        <w:t xml:space="preserve">    Alignment score:   e_{t,τ} = v_a^T tanh(W_a h_t^{enc} + U_a h_{τ-1}^{dec})    (Eq. 27)</w:t>
      </w:r>
    </w:p>
    <w:p>
      <w:pPr/>
      <w:r>
        <w:rPr>
          <w:rFonts w:ascii="Times New Roman" w:hAnsi="Times New Roman"/>
          <w:sz w:val="20"/>
        </w:rPr>
        <w:t xml:space="preserve">    Softmax:           α_{t,τ} = exp(e_{t,τ}) / ∑_{t'} exp(e_{t',τ})          (Eq. 28)</w:t>
      </w:r>
    </w:p>
    <w:p>
      <w:pPr/>
      <w:r>
        <w:rPr>
          <w:rFonts w:ascii="Times New Roman" w:hAnsi="Times New Roman"/>
          <w:sz w:val="20"/>
        </w:rPr>
        <w:t xml:space="preserve">    Context vector:    c_τ = ∑_t α_{t,τ} h_t^{enc}                            (Eq. 29)</w:t>
      </w:r>
    </w:p>
    <w:p>
      <w:pPr/>
      <w:r>
        <w:rPr>
          <w:rFonts w:ascii="Times New Roman" w:hAnsi="Times New Roman"/>
          <w:sz w:val="20"/>
        </w:rPr>
        <w:t xml:space="preserve">    Augmented state:   ˜h_τ^{dec} = tanh(W_c [h_τ^{dec}; c_τ])               (Eq. 30)</w:t>
      </w:r>
    </w:p>
    <w:p>
      <w:pPr/>
      <w:r>
        <w:rPr>
          <w:rFonts w:ascii="Times New Roman" w:hAnsi="Times New Roman"/>
          <w:sz w:val="20"/>
        </w:rPr>
        <w:t>The attention weights α_{t,τ} are directly interpretable: high values indicate that historical instant t is especially relevant for predicting horizon τ. Analysis of these weights (Section VII) reveals semantically meaningful patterns correlating with traffic periodicity and special events.</w:t>
      </w:r>
    </w:p>
    <w:p>
      <w:pPr>
        <w:pStyle w:val="Heading2"/>
      </w:pPr>
      <w:r>
        <w:rPr>
          <w:rFonts w:ascii="Times New Roman" w:hAnsi="Times New Roman"/>
        </w:rPr>
        <w:t>IV.D. Multi-Resolution Architecture</w:t>
      </w:r>
    </w:p>
    <w:p>
      <w:pPr/>
      <w:r>
        <w:rPr>
          <w:rFonts w:ascii="Times New Roman" w:hAnsi="Times New Roman"/>
          <w:sz w:val="20"/>
        </w:rPr>
        <w:t>5G traffic simultaneously contains patterns at multiple temporal scales: minute-level fluctuations (user sessions), hourly rhythms (daily activity patterns), daily cycles (weekday vs. weekend), and weekly trends. A single temporal resolution is insufficient to capture all these scales simultaneously.</w:t>
      </w:r>
    </w:p>
    <w:p>
      <w:pPr/>
      <w:r>
        <w:rPr>
          <w:rFonts w:ascii="Times New Roman" w:hAnsi="Times New Roman"/>
          <w:sz w:val="20"/>
        </w:rPr>
        <w:t>The multi-resolution architecture processes the input at three temporal scales via parallel BiLSTM branches:</w:t>
      </w:r>
    </w:p>
    <w:p>
      <w:pPr/>
      <w:r>
        <w:rPr>
          <w:rFonts w:ascii="Times New Roman" w:hAnsi="Times New Roman"/>
          <w:sz w:val="20"/>
        </w:rPr>
        <w:t xml:space="preserve">    r_k = BiLSTM_k(Pool_{s_k}(x'_t)),  k=1,2,3                     (Eq. 31)</w:t>
      </w:r>
    </w:p>
    <w:p>
      <w:pPr/>
      <w:r>
        <w:rPr>
          <w:rFonts w:ascii="Times New Roman" w:hAnsi="Times New Roman"/>
          <w:sz w:val="20"/>
        </w:rPr>
        <w:t>with s_1=1 (full resolution, 15 min), s_2=2 (medium, 30 min), s_3=4 (coarse, 60 min).</w:t>
      </w:r>
    </w:p>
    <w:p>
      <w:pPr/>
      <w:r>
        <w:rPr>
          <w:rFonts w:ascii="Times New Roman" w:hAnsi="Times New Roman"/>
          <w:sz w:val="20"/>
        </w:rPr>
        <w:t xml:space="preserve">    L_k = L · s_k                                                      (Eq. 32)</w:t>
      </w:r>
    </w:p>
    <w:p>
      <w:pPr/>
      <w:r>
        <w:rPr>
          <w:rFonts w:ascii="Times New Roman" w:hAnsi="Times New Roman"/>
          <w:sz w:val="20"/>
        </w:rPr>
        <w:t>where L_1, L_2, L_3 are the window lengths in each resolution, covering 24 hours in all cases. Each branch applies a 2-layer BiLSTM with 128 units, dropout p=0.3 between layers [17] and residual connections, producing representation vectors r_k ∈ R^{256}.</w:t>
      </w:r>
    </w:p>
    <w:p>
      <w:pPr/>
      <w:r>
        <w:rPr>
          <w:rFonts w:ascii="Times New Roman" w:hAnsi="Times New Roman"/>
          <w:sz w:val="20"/>
        </w:rPr>
        <w:t>The three representations are fused via a resolution attention mechanism:</w:t>
      </w:r>
    </w:p>
    <w:p>
      <w:pPr/>
      <w:r>
        <w:rPr>
          <w:rFonts w:ascii="Times New Roman" w:hAnsi="Times New Roman"/>
          <w:sz w:val="20"/>
        </w:rPr>
        <w:t xml:space="preserve">    β_k = softmax_k(W_β [r_1, r_2, r_3])                              (Eq. 33)</w:t>
      </w:r>
    </w:p>
    <w:p>
      <w:pPr/>
      <w:r>
        <w:rPr>
          <w:rFonts w:ascii="Times New Roman" w:hAnsi="Times New Roman"/>
          <w:sz w:val="20"/>
        </w:rPr>
        <w:t xml:space="preserve">    ˜r = ∑_k β_k r_k                                                    (Eq. 34)</w:t>
      </w:r>
    </w:p>
    <w:p>
      <w:pPr>
        <w:pStyle w:val="Heading2"/>
      </w:pPr>
      <w:r>
        <w:rPr>
          <w:rFonts w:ascii="Times New Roman" w:hAnsi="Times New Roman"/>
        </w:rPr>
        <w:t>IV.E. Complete Proposed Architecture</w:t>
      </w:r>
    </w:p>
    <w:p>
      <w:pPr/>
      <w:r>
        <w:rPr>
          <w:rFonts w:ascii="Times New Roman" w:hAnsi="Times New Roman"/>
          <w:sz w:val="20"/>
        </w:rPr>
        <w:t>The architecture integrates five functional layers in the following design:</w:t>
      </w:r>
    </w:p>
    <w:p>
      <w:pPr/>
      <w:r>
        <w:rPr>
          <w:rFonts w:ascii="Times New Roman" w:hAnsi="Times New Roman"/>
          <w:sz w:val="20"/>
        </w:rPr>
        <w:t>Layer 1 – Contextual Embedding and Preprocessing: Learnable embeddings for hour of day (dimension d_h=16) and day of week (d_w=8) using cyclic encoding (sin(2πh/24), cos(2πh/24)), binary holiday indicator, and neighboring cell traffic. All are concatenated with the raw traffic input to form augmented vector x'_t.</w:t>
      </w:r>
    </w:p>
    <w:p>
      <w:pPr/>
      <w:r>
        <w:rPr>
          <w:rFonts w:ascii="Times New Roman" w:hAnsi="Times New Roman"/>
          <w:sz w:val="20"/>
        </w:rPr>
        <w:t>Layer 2 – Parallel Multi-Resolution Processing: Three independent BiLSTM branches processing x'_t according to Eqs. (31–32). Each branch uses 2-layer BiLSTM with 128 units (256 bidirectional total), dropout p ∈ [0.2, 0.5], and layer normalization.</w:t>
      </w:r>
    </w:p>
    <w:p>
      <w:pPr/>
      <w:r>
        <w:rPr>
          <w:rFonts w:ascii="Times New Roman" w:hAnsi="Times New Roman"/>
          <w:sz w:val="20"/>
        </w:rPr>
        <w:t>Layer 3 – Resolution Attention Fusion: Fusion via Eq. (33) followed by linear projection with BatchNorm and ReLU activation, producing the fused multi-resolution representation ˜r.</w:t>
      </w:r>
    </w:p>
    <w:p>
      <w:pPr/>
      <w:r>
        <w:rPr>
          <w:rFonts w:ascii="Times New Roman" w:hAnsi="Times New Roman"/>
          <w:sz w:val="20"/>
        </w:rPr>
        <w:t>Layer 4 – Encoder-Decoder with Temporal Attention: 2-layer LSTM encoder with 256 units processing the T=96 input states, and 2-layer LSTM decoder with 256 units generating predictions step by step with Bahdanau attention (Eqs. 24–30).</w:t>
      </w:r>
    </w:p>
    <w:p>
      <w:pPr/>
      <w:r>
        <w:rPr>
          <w:rFonts w:ascii="Times New Roman" w:hAnsi="Times New Roman"/>
          <w:sz w:val="20"/>
        </w:rPr>
        <w:t>Layer 5 – Multi-Horizon Output: Dense layer with linear activation generating [ŷ(t+1),...,ŷ(t+H)] for horizons from 15 min (τ=1) to 1 hour (τ=24). A parallel branch produces variance estimates σ̂^2 for MC Dropout-based uncertainty estimation.</w:t>
      </w:r>
    </w:p>
    <w:p>
      <w:pPr/>
      <w:r>
        <w:rPr>
          <w:rFonts w:ascii="Times New Roman" w:hAnsi="Times New Roman"/>
          <w:sz w:val="20"/>
        </w:rPr>
        <w:t>The computational complexity of inference is O(T · d^2) per LSTM layer, resulting in 40 ms latency on CPU and 5 ms on GPU (NVIDIA V100), well within the 100 ms requirement for real-time 5G resource management.</w:t>
      </w:r>
    </w:p>
    <w:p>
      <w:r>
        <w:rPr>
          <w:rFonts w:ascii="Times New Roman" w:hAnsi="Times New Roman"/>
          <w:i/>
          <w:sz w:val="18"/>
        </w:rPr>
        <w:t>Fig. 1. Complete five-layer architecture of the proposed multi-resolution LSTM with Bahdanau attention for 5G traffic prediction. Layer 1 (Contextual Embedding), Layer 2 (Parallel Multi-Resolution BiLSTM at factors 1, 2, 4), Layer 3 (Resolution Attention Fusion), Layer 4 (Encoder-Decoder with Bahdanau Attention), Layer 5 (Multi-Horizon Output). Total parameters: ~4.2M.</w:t>
      </w:r>
    </w:p>
    <w:p>
      <w:pPr/>
      <w:r>
        <w:rPr>
          <w:rFonts w:ascii="Times New Roman" w:hAnsi="Times New Roman"/>
          <w:sz w:val="20"/>
        </w:rPr>
        <w:t>The visualization of attention weights confirms the interpretability of the architecture. The heat map of attention weights α_{t,τ} for τ=24 prediction steps and lookback T=96 steps on the Milano dataset reveals that the model focuses primarily on: (i) the most recent steps (t ≈ T) for short-horizon predictions; (ii) equivalent instants from the previous day (t ≈ T-96) for medium-horizon predictions; (iii) equivalent instants from the same weekday in the previous week for long-horizon predictions. This behavior validates that the model has learned the seasonal structure of traffic without explicit seasonal decomposition.</w:t>
      </w:r>
    </w:p>
    <w:p>
      <w:pPr>
        <w:pStyle w:val="Heading1"/>
      </w:pPr>
      <w:r>
        <w:rPr>
          <w:rFonts w:ascii="Times New Roman" w:hAnsi="Times New Roman"/>
        </w:rPr>
        <w:t>V. Proactive Resource Management in 5G Networks</w:t>
      </w:r>
    </w:p>
    <w:p>
      <w:pPr>
        <w:pStyle w:val="Heading2"/>
      </w:pPr>
      <w:r>
        <w:rPr>
          <w:rFonts w:ascii="Times New Roman" w:hAnsi="Times New Roman"/>
        </w:rPr>
        <w:t>V.A. Proactive Versus Reactive Framework</w:t>
      </w:r>
    </w:p>
    <w:p>
      <w:pPr/>
      <w:r>
        <w:rPr>
          <w:rFonts w:ascii="Times New Roman" w:hAnsi="Times New Roman"/>
          <w:sz w:val="20"/>
        </w:rPr>
        <w:t>Reactive resource management makes allocation decisions at instant t based solely on the current measured state X(t), without anticipation of near-future evolution. This approach suffers from three fundamental limitations: (1) Reaction latency: by the time a peak is detected, the network may already be experiencing congestion; (2) Inability to pre-activate sleeping cells before demand increases; (3) Suboptimal energy efficiency due to late load balancing.</w:t>
      </w:r>
    </w:p>
    <w:p>
      <w:pPr/>
      <w:r>
        <w:rPr>
          <w:rFonts w:ascii="Times New Roman" w:hAnsi="Times New Roman"/>
          <w:sz w:val="20"/>
        </w:rPr>
        <w:t>Proactive management, enabled by high-quality predictions, solves an optimization problem incorporating predictions X̂(t+1), ..., X̂(t+H) as inputs. This allows allocating resources x(t+k) in advance, activating cells before demand peaks, and releasing excess resources during predicted low-demand periods.</w:t>
      </w:r>
    </w:p>
    <w:p>
      <w:pPr>
        <w:pStyle w:val="Heading2"/>
      </w:pPr>
      <w:r>
        <w:rPr>
          <w:rFonts w:ascii="Times New Roman" w:hAnsi="Times New Roman"/>
        </w:rPr>
        <w:t>V.B. Base Optimization Problem Formulation</w:t>
      </w:r>
    </w:p>
    <w:p>
      <w:pPr/>
      <w:r>
        <w:rPr>
          <w:rFonts w:ascii="Times New Roman" w:hAnsi="Times New Roman"/>
          <w:sz w:val="20"/>
        </w:rPr>
        <w:t>Let S be the number of slices, N_PRB the total number of radio resource blocks (PRBs), x_{s,k} the PRB allocation to slice s at horizon k, and p_s the transmission power. The base optimization problem minimizes a weighted combination of blocking cost, power consumption, and maximizes resource utilization:</w:t>
      </w:r>
    </w:p>
    <w:p>
      <w:pPr/>
      <w:r>
        <w:rPr>
          <w:rFonts w:ascii="Times New Roman" w:hAnsi="Times New Roman"/>
          <w:sz w:val="20"/>
        </w:rPr>
        <w:t xml:space="preserve">    min_{x_{s,k},p_s}  α_1 ∑_{s,k} B_s(x_{s,k}) + α_2 P_{total}(x_{s,k},p_s) - α_3 U(x_{s,k})        (Eq. 35)</w:t>
      </w:r>
    </w:p>
    <w:p>
      <w:pPr/>
      <w:r>
        <w:rPr>
          <w:rFonts w:ascii="Times New Roman" w:hAnsi="Times New Roman"/>
          <w:sz w:val="20"/>
        </w:rPr>
        <w:t>Subject to:</w:t>
      </w:r>
    </w:p>
    <w:p>
      <w:pPr/>
      <w:r>
        <w:rPr>
          <w:rFonts w:ascii="Times New Roman" w:hAnsi="Times New Roman"/>
          <w:sz w:val="20"/>
        </w:rPr>
        <w:t xml:space="preserve">    PRB capacity:   ∑_s x_{s,k} ≤ N_PRB, for all k                           (Eq. 36)</w:t>
      </w:r>
    </w:p>
    <w:p>
      <w:pPr/>
      <w:r>
        <w:rPr>
          <w:rFonts w:ascii="Times New Roman" w:hAnsi="Times New Roman"/>
          <w:sz w:val="20"/>
        </w:rPr>
        <w:t xml:space="preserve">    SLA demand:     x_{s,k} · η_s ≥ D̂_{s,k}, for all s,k                (Eq. 37)</w:t>
      </w:r>
    </w:p>
    <w:p>
      <w:pPr/>
      <w:r>
        <w:rPr>
          <w:rFonts w:ascii="Times New Roman" w:hAnsi="Times New Roman"/>
          <w:sz w:val="20"/>
        </w:rPr>
        <w:t xml:space="preserve">    QoS latency:    L_s(x_{s,k}) ≤ L_s^{max}, for all s                     (Eq. 38)</w:t>
      </w:r>
    </w:p>
    <w:p>
      <w:pPr/>
      <w:r>
        <w:rPr>
          <w:rFonts w:ascii="Times New Roman" w:hAnsi="Times New Roman"/>
          <w:sz w:val="20"/>
        </w:rPr>
        <w:t xml:space="preserve">    Total power:    ∑_s p_s ≤ P_{max}                                       (Eq. 39)</w:t>
      </w:r>
    </w:p>
    <w:p>
      <w:pPr/>
      <w:r>
        <w:rPr>
          <w:rFonts w:ascii="Times New Roman" w:hAnsi="Times New Roman"/>
          <w:sz w:val="20"/>
        </w:rPr>
        <w:t xml:space="preserve">    Domain:         x_{s,k} ≥ 0, integer.</w:t>
      </w:r>
    </w:p>
    <w:p>
      <w:pPr>
        <w:pStyle w:val="Heading2"/>
      </w:pPr>
      <w:r>
        <w:rPr>
          <w:rFonts w:ascii="Times New Roman" w:hAnsi="Times New Roman"/>
        </w:rPr>
        <w:t>V.C. Robust Optimization Under Prediction Uncertainty</w:t>
      </w:r>
    </w:p>
    <w:p>
      <w:pPr/>
      <w:r>
        <w:rPr>
          <w:rFonts w:ascii="Times New Roman" w:hAnsi="Times New Roman"/>
          <w:sz w:val="20"/>
        </w:rPr>
        <w:t>Predictions D̂_{s,k} contain uncertainty that grows with horizon k. Robust optimization [39] guarantees SLA satisfaction for all realizations within an ellipsoidal uncertainty set:</w:t>
      </w:r>
    </w:p>
    <w:p>
      <w:pPr/>
      <w:r>
        <w:rPr>
          <w:rFonts w:ascii="Times New Roman" w:hAnsi="Times New Roman"/>
          <w:sz w:val="20"/>
        </w:rPr>
        <w:t xml:space="preserve">    U = { D : (D - D̂)^T Σ^{-1} (D - D̂) ≤ χ^2_{n,1-α} }     (Eq. 40)</w:t>
      </w:r>
    </w:p>
    <w:p>
      <w:pPr/>
      <w:r>
        <w:rPr>
          <w:rFonts w:ascii="Times New Roman" w:hAnsi="Times New Roman"/>
          <w:sz w:val="20"/>
        </w:rPr>
        <w:t>where Σ is the prediction covariance matrix estimated from historical LSTM residuals, and χ^2_{n,1-α} is the (1-α)-quantile of the chi-squared distribution.</w:t>
      </w:r>
    </w:p>
    <w:p>
      <w:pPr/>
      <w:r>
        <w:rPr>
          <w:rFonts w:ascii="Times New Roman" w:hAnsi="Times New Roman"/>
          <w:sz w:val="20"/>
        </w:rPr>
        <w:t>Robustified capacity constraint:</w:t>
      </w:r>
    </w:p>
    <w:p>
      <w:pPr/>
      <w:r>
        <w:rPr>
          <w:rFonts w:ascii="Times New Roman" w:hAnsi="Times New Roman"/>
          <w:sz w:val="20"/>
        </w:rPr>
        <w:t xml:space="preserve">    x_{s,k} · η_s ≥ D̂_{s,k} + κ √σ̂^2_{s,k}        (Eq. 41)</w:t>
      </w:r>
    </w:p>
    <w:p>
      <w:pPr/>
      <w:r>
        <w:rPr>
          <w:rFonts w:ascii="Times New Roman" w:hAnsi="Times New Roman"/>
          <w:sz w:val="20"/>
        </w:rPr>
        <w:t>The second term is the adaptive safety margin that: (a) increases with prediction uncertainty σ̂^2_{s,k}; (b) decreases with model precision.</w:t>
      </w:r>
    </w:p>
    <w:p>
      <w:pPr>
        <w:pStyle w:val="Heading2"/>
      </w:pPr>
      <w:r>
        <w:rPr>
          <w:rFonts w:ascii="Times New Roman" w:hAnsi="Times New Roman"/>
        </w:rPr>
        <w:t>V.D. Stochastic Optimization</w:t>
      </w:r>
    </w:p>
    <w:p>
      <w:pPr/>
      <w:r>
        <w:rPr>
          <w:rFonts w:ascii="Times New Roman" w:hAnsi="Times New Roman"/>
          <w:sz w:val="20"/>
        </w:rPr>
        <w:t>As a complementary alternative, two-stage stochastic optimization [40] minimizes the expected cost over a distribution of scenarios:</w:t>
      </w:r>
    </w:p>
    <w:p>
      <w:pPr/>
      <w:r>
        <w:rPr>
          <w:rFonts w:ascii="Times New Roman" w:hAnsi="Times New Roman"/>
          <w:sz w:val="20"/>
        </w:rPr>
        <w:t xml:space="preserve">    min_x  E[Q(x,ξ)] + λ · CVaR_β[Q(x,ξ)]                        (Eq. 42)</w:t>
      </w:r>
    </w:p>
    <w:p>
      <w:pPr/>
      <w:r>
        <w:rPr>
          <w:rFonts w:ascii="Times New Roman" w:hAnsi="Times New Roman"/>
          <w:sz w:val="20"/>
        </w:rPr>
        <w:t>where ξ^(m) are sampled scenarios from the prediction distribution (via MC Dropout), Q(·) is the second-stage cost (blocking and SLA violation penalties), and CVaR_β at level β=0.95 controls risk from adverse scenarios. The λ=0.3 weight balances expected cost minimization against risk aversion.</w:t>
      </w:r>
    </w:p>
    <w:p>
      <w:pPr>
        <w:pStyle w:val="Heading2"/>
      </w:pPr>
      <w:r>
        <w:rPr>
          <w:rFonts w:ascii="Times New Roman" w:hAnsi="Times New Roman"/>
        </w:rPr>
        <w:t>V.E. Cell Pre-Activation Algorithm</w:t>
      </w:r>
    </w:p>
    <w:p>
      <w:pPr/>
      <w:r>
        <w:rPr>
          <w:rFonts w:ascii="Times New Roman" w:hAnsi="Times New Roman"/>
          <w:sz w:val="20"/>
        </w:rPr>
        <w:t>Based on LSTM predictions, the system proactively decides which cells in sleep mode should be activated. Cell c is activated if:</w:t>
      </w:r>
    </w:p>
    <w:p>
      <w:pPr/>
      <w:r>
        <w:rPr>
          <w:rFonts w:ascii="Times New Roman" w:hAnsi="Times New Roman"/>
          <w:sz w:val="20"/>
        </w:rPr>
        <w:t xml:space="preserve">    X̂_c(t+Δ) &gt; θ_c · (1 + ρ_{safety})                           (Eq. 43)</w:t>
      </w:r>
    </w:p>
    <w:p>
      <w:pPr/>
      <w:r>
        <w:rPr>
          <w:rFonts w:ascii="Times New Roman" w:hAnsi="Times New Roman"/>
          <w:sz w:val="20"/>
        </w:rPr>
        <w:t>where θ_c is the activation threshold (historically calibrated), ρ_{safety} = 0.15–0.20 is the safety factor accounting for prediction uncertainty, and Δ = 3–6 steps (30–60 minutes) is the required activation lead time.</w:t>
      </w:r>
    </w:p>
    <w:p>
      <w:pPr>
        <w:pStyle w:val="Heading2"/>
      </w:pPr>
      <w:r>
        <w:rPr>
          <w:rFonts w:ascii="Times New Roman" w:hAnsi="Times New Roman"/>
        </w:rPr>
        <w:t>V.F. Dynamic Slice Adaptation</w:t>
      </w:r>
    </w:p>
    <w:p>
      <w:pPr/>
      <w:r>
        <w:rPr>
          <w:rFonts w:ascii="Times New Roman" w:hAnsi="Times New Roman"/>
          <w:sz w:val="20"/>
        </w:rPr>
        <w:t>The proactive slice adaptation rule adjusts allocated resources based on the predicted demand increment:</w:t>
      </w:r>
    </w:p>
    <w:p>
      <w:pPr/>
      <w:r>
        <w:rPr>
          <w:rFonts w:ascii="Times New Roman" w:hAnsi="Times New Roman"/>
          <w:sz w:val="20"/>
        </w:rPr>
        <w:t xml:space="preserve">    x_s^{new}(t+τ) = x_s(t) · (1 + γ_{anticipation} · ΔD̂_s) - δ_{release} · x_s^{excess}(t)       (Eq. 44)</w:t>
      </w:r>
    </w:p>
    <w:p>
      <w:pPr/>
      <w:r>
        <w:rPr>
          <w:rFonts w:ascii="Times New Roman" w:hAnsi="Times New Roman"/>
          <w:sz w:val="20"/>
        </w:rPr>
        <w:t>where γ_{anticipation} ≈ 0.3 is the anticipation factor, δ_{release} ≈ 0.1 is the excess release rate, and x_s^{excess}(t) is the excess allocated resources.</w:t>
      </w:r>
    </w:p>
    <w:p>
      <w:r>
        <w:rPr>
          <w:rFonts w:ascii="Times New Roman" w:hAnsi="Times New Roman"/>
          <w:i/>
          <w:sz w:val="18"/>
        </w:rPr>
        <w:t>Fig. 6. Temporal comparison: real demand (red), reactive allocation (dashed blue), and proactive allocation (solid green) over 48 hours. The proactive scheme anticipates demand peaks by 30–60 minutes, avoiding blocking episodes that affect the reactive scheme.</w:t>
      </w:r>
    </w:p>
    <w:p>
      <w:r>
        <w:rPr>
          <w:rFonts w:ascii="Times New Roman" w:hAnsi="Times New Roman"/>
          <w:i/>
          <w:sz w:val="18"/>
        </w:rPr>
        <w:t>Fig. 7. System-level simulation architecture for comparative evaluation of reactive vs. proactive resource management in 5G networks. Components: (a) Traffic Demand Generator (Milano dataset); (b) Proposed LSTM Predictor; (c) Robust Optimization block (Algorithm 3); (d) Network Simulator with 20 cells, 100 PRBs/cell, 3 slices; (e) KPI Measurement block; (f) Reactive Scheduler branch.</w:t>
      </w:r>
    </w:p>
    <w:p>
      <w:pPr>
        <w:pStyle w:val="Heading1"/>
      </w:pPr>
      <w:r>
        <w:rPr>
          <w:rFonts w:ascii="Times New Roman" w:hAnsi="Times New Roman"/>
        </w:rPr>
        <w:t>VI. Step-by-Step Algorithms</w:t>
      </w:r>
    </w:p>
    <w:p>
      <w:pPr>
        <w:pStyle w:val="Heading2"/>
      </w:pPr>
      <w:r>
        <w:rPr>
          <w:rFonts w:ascii="Times New Roman" w:hAnsi="Times New Roman"/>
        </w:rPr>
        <w:t>VI.A. Algorithm 1: LSTM Model Training</w:t>
      </w:r>
    </w:p>
    <w:p>
      <w:r>
        <w:rPr>
          <w:rFonts w:ascii="Courier New" w:hAnsi="Courier New"/>
          <w:sz w:val="18"/>
        </w:rPr>
        <w:t>Algorithm 1: Training of Multi-Resolution LSTM Model with Attention</w:t>
      </w:r>
    </w:p>
    <w:p>
      <w:r>
        <w:rPr>
          <w:rFonts w:ascii="Courier New" w:hAnsi="Courier New"/>
          <w:sz w:val="18"/>
        </w:rPr>
        <w:t>Input:  Dataset D, hyperparameters eta=1e-3, beta1=0.9, beta2=0.999,</w:t>
      </w:r>
    </w:p>
    <w:p>
      <w:r>
        <w:rPr>
          <w:rFonts w:ascii="Courier New" w:hAnsi="Courier New"/>
          <w:sz w:val="18"/>
        </w:rPr>
        <w:t xml:space="preserve">        lambda_L2=1e-4, p_dropout in [0.2,0.5], clip_norm=5.0,</w:t>
      </w:r>
    </w:p>
    <w:p>
      <w:r>
        <w:rPr>
          <w:rFonts w:ascii="Courier New" w:hAnsi="Courier New"/>
          <w:sz w:val="18"/>
        </w:rPr>
        <w:t xml:space="preserve">        E_max=200, patience=15</w:t>
      </w:r>
    </w:p>
    <w:p>
      <w:r>
        <w:rPr>
          <w:rFonts w:ascii="Courier New" w:hAnsi="Courier New"/>
          <w:sz w:val="18"/>
        </w:rPr>
        <w:t>Output: Optimal parameters theta*</w:t>
      </w:r>
    </w:p>
    <w:p>
      <w:r>
        <w:rPr>
          <w:rFonts w:ascii="Courier New" w:hAnsi="Courier New"/>
          <w:sz w:val="18"/>
        </w:rPr>
      </w:r>
    </w:p>
    <w:p>
      <w:r>
        <w:rPr>
          <w:rFonts w:ascii="Courier New" w:hAnsi="Courier New"/>
          <w:sz w:val="18"/>
        </w:rPr>
        <w:t>1. Initialize theta randomly (Xavier/Glorot initialization)</w:t>
      </w:r>
    </w:p>
    <w:p>
      <w:r>
        <w:rPr>
          <w:rFonts w:ascii="Courier New" w:hAnsi="Courier New"/>
          <w:sz w:val="18"/>
        </w:rPr>
        <w:t>2. Split D into D_tr(70%), D_val(15%), D_te(15%) preserving temporal order</w:t>
      </w:r>
    </w:p>
    <w:p>
      <w:r>
        <w:rPr>
          <w:rFonts w:ascii="Courier New" w:hAnsi="Courier New"/>
          <w:sz w:val="18"/>
        </w:rPr>
        <w:t>3. Normalize: compute mu,sigma on D_tr; apply z-score to all splits</w:t>
      </w:r>
    </w:p>
    <w:p>
      <w:r>
        <w:rPr>
          <w:rFonts w:ascii="Courier New" w:hAnsi="Courier New"/>
          <w:sz w:val="18"/>
        </w:rPr>
        <w:t>4. Set SEED=42: torch.manual_seed(42), numpy.random.seed(42),</w:t>
      </w:r>
    </w:p>
    <w:p>
      <w:r>
        <w:rPr>
          <w:rFonts w:ascii="Courier New" w:hAnsi="Courier New"/>
          <w:sz w:val="18"/>
        </w:rPr>
        <w:t xml:space="preserve">   torch.cuda.manual_seed_all(42)</w:t>
      </w:r>
    </w:p>
    <w:p>
      <w:r>
        <w:rPr>
          <w:rFonts w:ascii="Courier New" w:hAnsi="Courier New"/>
          <w:sz w:val="18"/>
        </w:rPr>
        <w:t>5. Initialize Adam optimizer with eta, beta1, beta2, epsilon=1e-8</w:t>
      </w:r>
    </w:p>
    <w:p>
      <w:r>
        <w:rPr>
          <w:rFonts w:ascii="Courier New" w:hAnsi="Courier New"/>
          <w:sz w:val="18"/>
        </w:rPr>
        <w:t>6. Set best_val_loss=inf, patience_counter=0</w:t>
      </w:r>
    </w:p>
    <w:p>
      <w:r>
        <w:rPr>
          <w:rFonts w:ascii="Courier New" w:hAnsi="Courier New"/>
          <w:sz w:val="18"/>
        </w:rPr>
      </w:r>
    </w:p>
    <w:p>
      <w:r>
        <w:rPr>
          <w:rFonts w:ascii="Courier New" w:hAnsi="Courier New"/>
          <w:sz w:val="18"/>
        </w:rPr>
        <w:t>7. For epoch = 1 to E_max:</w:t>
      </w:r>
    </w:p>
    <w:p>
      <w:r>
        <w:rPr>
          <w:rFonts w:ascii="Courier New" w:hAnsi="Courier New"/>
          <w:sz w:val="18"/>
        </w:rPr>
        <w:t xml:space="preserve">   a. For each mini-batch B (size=64):</w:t>
      </w:r>
    </w:p>
    <w:p>
      <w:r>
        <w:rPr>
          <w:rFonts w:ascii="Courier New" w:hAnsi="Courier New"/>
          <w:sz w:val="18"/>
        </w:rPr>
        <w:t xml:space="preserve">      i.   Build x'_t = [x_t; embed_hour(t); embed_day(t); holiday(t); neighbors(t)]</w:t>
      </w:r>
    </w:p>
    <w:p>
      <w:r>
        <w:rPr>
          <w:rFonts w:ascii="Courier New" w:hAnsi="Courier New"/>
          <w:sz w:val="18"/>
        </w:rPr>
        <w:t xml:space="preserve">      ii.  Layer2: r_k = BiLSTM_k(Pool_{s_k}(x'_t)) for k=1,2,3</w:t>
      </w:r>
    </w:p>
    <w:p>
      <w:r>
        <w:rPr>
          <w:rFonts w:ascii="Courier New" w:hAnsi="Courier New"/>
          <w:sz w:val="18"/>
        </w:rPr>
        <w:t xml:space="preserve">      iii. Layer3: beta_k = softmax(W_beta[r1,r2,r3]); r_tilde = sum_k beta_k*r_k</w:t>
      </w:r>
    </w:p>
    <w:p>
      <w:r>
        <w:rPr>
          <w:rFonts w:ascii="Courier New" w:hAnsi="Courier New"/>
          <w:sz w:val="18"/>
        </w:rPr>
        <w:t xml:space="preserve">      iv.  Encoder: {h_t^enc}_{t=1}^T = LSTM_enc(r_tilde)</w:t>
      </w:r>
    </w:p>
    <w:p>
      <w:r>
        <w:rPr>
          <w:rFonts w:ascii="Courier New" w:hAnsi="Courier New"/>
          <w:sz w:val="18"/>
        </w:rPr>
        <w:t xml:space="preserve">      v.   Decoder (Bahdanau attention): {h_tau^dec}_{tau=1}^H</w:t>
      </w:r>
    </w:p>
    <w:p>
      <w:r>
        <w:rPr>
          <w:rFonts w:ascii="Courier New" w:hAnsi="Courier New"/>
          <w:sz w:val="18"/>
        </w:rPr>
        <w:t xml:space="preserve">      vi.  Output: y_hat = FC(h_tau^dec)</w:t>
      </w:r>
    </w:p>
    <w:p>
      <w:r>
        <w:rPr>
          <w:rFonts w:ascii="Courier New" w:hAnsi="Courier New"/>
          <w:sz w:val="18"/>
        </w:rPr>
        <w:t xml:space="preserve">      vii. Loss: L = sum_{tau=1}^H w_tau * L_delta(y_{t+tau}, y_hat_{t+tau})</w:t>
      </w:r>
    </w:p>
    <w:p>
      <w:r>
        <w:rPr>
          <w:rFonts w:ascii="Courier New" w:hAnsi="Courier New"/>
          <w:sz w:val="18"/>
        </w:rPr>
        <w:t xml:space="preserve">      viii.L_total = L + lambda_L2 * ||theta||^2</w:t>
      </w:r>
    </w:p>
    <w:p>
      <w:r>
        <w:rPr>
          <w:rFonts w:ascii="Courier New" w:hAnsi="Courier New"/>
          <w:sz w:val="18"/>
        </w:rPr>
        <w:t xml:space="preserve">      ix.  Backward pass (BPTT)</w:t>
      </w:r>
    </w:p>
    <w:p>
      <w:r>
        <w:rPr>
          <w:rFonts w:ascii="Courier New" w:hAnsi="Courier New"/>
          <w:sz w:val="18"/>
        </w:rPr>
        <w:t xml:space="preserve">      x.   Gradient clipping: ||nabla|| &lt;= 5.0</w:t>
      </w:r>
    </w:p>
    <w:p>
      <w:r>
        <w:rPr>
          <w:rFonts w:ascii="Courier New" w:hAnsi="Courier New"/>
          <w:sz w:val="18"/>
        </w:rPr>
        <w:t xml:space="preserve">      xi.  Adam update</w:t>
      </w:r>
    </w:p>
    <w:p>
      <w:r>
        <w:rPr>
          <w:rFonts w:ascii="Courier New" w:hAnsi="Courier New"/>
          <w:sz w:val="18"/>
        </w:rPr>
        <w:t xml:space="preserve">   b. val_loss = evaluate(D_val, eval_mode)</w:t>
      </w:r>
    </w:p>
    <w:p>
      <w:r>
        <w:rPr>
          <w:rFonts w:ascii="Courier New" w:hAnsi="Courier New"/>
          <w:sz w:val="18"/>
        </w:rPr>
        <w:t xml:space="preserve">   c. If val_loss &lt; best_val_loss: save theta*; patience_counter=0</w:t>
      </w:r>
    </w:p>
    <w:p>
      <w:r>
        <w:rPr>
          <w:rFonts w:ascii="Courier New" w:hAnsi="Courier New"/>
          <w:sz w:val="18"/>
        </w:rPr>
        <w:t xml:space="preserve">   d. Else: patience_counter += 1</w:t>
      </w:r>
    </w:p>
    <w:p>
      <w:r>
        <w:rPr>
          <w:rFonts w:ascii="Courier New" w:hAnsi="Courier New"/>
          <w:sz w:val="18"/>
        </w:rPr>
        <w:t xml:space="preserve">   e. If patience_counter &gt;= patience: break (early stopping)</w:t>
      </w:r>
    </w:p>
    <w:p>
      <w:r>
        <w:rPr>
          <w:rFonts w:ascii="Courier New" w:hAnsi="Courier New"/>
          <w:sz w:val="18"/>
        </w:rPr>
        <w:t xml:space="preserve">   f. LR warmup (first 5 epochs): eta_eff = eta * epoch/5</w:t>
      </w:r>
    </w:p>
    <w:p>
      <w:r>
        <w:rPr>
          <w:rFonts w:ascii="Courier New" w:hAnsi="Courier New"/>
          <w:sz w:val="18"/>
        </w:rPr>
        <w:t xml:space="preserve">   g. Cosine annealing: eta_eff = eta*(1+cos(pi*epoch/E_max))/2</w:t>
      </w:r>
    </w:p>
    <w:p>
      <w:r>
        <w:rPr>
          <w:rFonts w:ascii="Courier New" w:hAnsi="Courier New"/>
          <w:sz w:val="18"/>
        </w:rPr>
      </w:r>
    </w:p>
    <w:p>
      <w:r>
        <w:rPr>
          <w:rFonts w:ascii="Courier New" w:hAnsi="Courier New"/>
          <w:sz w:val="18"/>
        </w:rPr>
        <w:t>8. Return theta*</w:t>
      </w:r>
    </w:p>
    <w:p>
      <w:pPr>
        <w:pStyle w:val="Heading2"/>
      </w:pPr>
      <w:r>
        <w:rPr>
          <w:rFonts w:ascii="Times New Roman" w:hAnsi="Times New Roman"/>
        </w:rPr>
        <w:t>VI.B. Algorithm 2: Real-Time Prediction with Confidence Intervals</w:t>
      </w:r>
    </w:p>
    <w:p>
      <w:r>
        <w:rPr>
          <w:rFonts w:ascii="Courier New" w:hAnsi="Courier New"/>
          <w:sz w:val="18"/>
        </w:rPr>
        <w:t>Algorithm 2: Real-Time Prediction with Confidence Intervals (MC Dropout)</w:t>
      </w:r>
    </w:p>
    <w:p>
      <w:r>
        <w:rPr>
          <w:rFonts w:ascii="Courier New" w:hAnsi="Courier New"/>
          <w:sz w:val="18"/>
        </w:rPr>
        <w:t>Input:  theta*, circular buffer B_t=[X(t-w+1),...,X(t)],</w:t>
      </w:r>
    </w:p>
    <w:p>
      <w:r>
        <w:rPr>
          <w:rFonts w:ascii="Courier New" w:hAnsi="Courier New"/>
          <w:sz w:val="18"/>
        </w:rPr>
        <w:t xml:space="preserve">        confidence level alpha, horizon tau, MC samples M=30</w:t>
      </w:r>
    </w:p>
    <w:p>
      <w:r>
        <w:rPr>
          <w:rFonts w:ascii="Courier New" w:hAnsi="Courier New"/>
          <w:sz w:val="18"/>
        </w:rPr>
        <w:t>Output: {X_hat(t+k), CI_lower(t+k), CI_upper(t+k)}_{k=1}^tau</w:t>
      </w:r>
    </w:p>
    <w:p>
      <w:r>
        <w:rPr>
          <w:rFonts w:ascii="Courier New" w:hAnsi="Courier New"/>
          <w:sz w:val="18"/>
        </w:rPr>
      </w:r>
    </w:p>
    <w:p>
      <w:r>
        <w:rPr>
          <w:rFonts w:ascii="Courier New" w:hAnsi="Courier New"/>
          <w:sz w:val="18"/>
        </w:rPr>
        <w:t>Note: MC Dropout provides approximate Bayesian uncertainty [53].</w:t>
      </w:r>
    </w:p>
    <w:p>
      <w:r>
        <w:rPr>
          <w:rFonts w:ascii="Courier New" w:hAnsi="Courier New"/>
          <w:sz w:val="18"/>
        </w:rPr>
      </w:r>
    </w:p>
    <w:p>
      <w:r>
        <w:rPr>
          <w:rFonts w:ascii="Courier New" w:hAnsi="Courier New"/>
          <w:sz w:val="18"/>
        </w:rPr>
        <w:t>1. Preprocess B_t: apply stored normalization (mu, sigma from training)</w:t>
      </w:r>
    </w:p>
    <w:p>
      <w:r>
        <w:rPr>
          <w:rFonts w:ascii="Courier New" w:hAnsi="Courier New"/>
          <w:sz w:val="18"/>
        </w:rPr>
        <w:t>2. Construct x'_t from B_t, cyclic time embeddings, exogenous features</w:t>
      </w:r>
    </w:p>
    <w:p>
      <w:r>
        <w:rPr>
          <w:rFonts w:ascii="Courier New" w:hAnsi="Courier New"/>
          <w:sz w:val="18"/>
        </w:rPr>
        <w:t>3. Enable dropout at inference: model.train() mode for MC passes</w:t>
      </w:r>
    </w:p>
    <w:p>
      <w:r>
        <w:rPr>
          <w:rFonts w:ascii="Courier New" w:hAnsi="Courier New"/>
          <w:sz w:val="18"/>
        </w:rPr>
        <w:t>4. Y_hat = zeros(M, tau)</w:t>
      </w:r>
    </w:p>
    <w:p>
      <w:r>
        <w:rPr>
          <w:rFonts w:ascii="Courier New" w:hAnsi="Courier New"/>
          <w:sz w:val="18"/>
        </w:rPr>
      </w:r>
    </w:p>
    <w:p>
      <w:r>
        <w:rPr>
          <w:rFonts w:ascii="Courier New" w:hAnsi="Courier New"/>
          <w:sz w:val="18"/>
        </w:rPr>
        <w:t>5. For m = 1 to M=30:  // MC Dropout passes</w:t>
      </w:r>
    </w:p>
    <w:p>
      <w:r>
        <w:rPr>
          <w:rFonts w:ascii="Courier New" w:hAnsi="Courier New"/>
          <w:sz w:val="18"/>
        </w:rPr>
        <w:t xml:space="preserve">   a. Forward pass with dropout active: Y_hat[m,:] = model(x'_t, theta*)</w:t>
      </w:r>
    </w:p>
    <w:p>
      <w:r>
        <w:rPr>
          <w:rFonts w:ascii="Courier New" w:hAnsi="Courier New"/>
          <w:sz w:val="18"/>
        </w:rPr>
        <w:t xml:space="preserve">   b. Apply inverse normalization to Y_hat[m,:]</w:t>
      </w:r>
    </w:p>
    <w:p>
      <w:r>
        <w:rPr>
          <w:rFonts w:ascii="Courier New" w:hAnsi="Courier New"/>
          <w:sz w:val="18"/>
        </w:rPr>
      </w:r>
    </w:p>
    <w:p>
      <w:r>
        <w:rPr>
          <w:rFonts w:ascii="Courier New" w:hAnsi="Courier New"/>
          <w:sz w:val="18"/>
        </w:rPr>
        <w:t>6. Mean: X_hat(t+k) = (1/M)*sum_m Y_hat[m,k]  for k=1..tau</w:t>
      </w:r>
    </w:p>
    <w:p>
      <w:r>
        <w:rPr>
          <w:rFonts w:ascii="Courier New" w:hAnsi="Courier New"/>
          <w:sz w:val="18"/>
        </w:rPr>
        <w:t>7. Variance: sigma_MC^2(t+k) = (1/M)*sum_m(Y_hat[m,k]-X_hat(t+k))^2</w:t>
      </w:r>
    </w:p>
    <w:p>
      <w:r>
        <w:rPr>
          <w:rFonts w:ascii="Courier New" w:hAnsi="Courier New"/>
          <w:sz w:val="18"/>
        </w:rPr>
        <w:t>8. z = norm.ppf(1 - alpha/2)   // e.g. z=1.96 for 95% CI</w:t>
      </w:r>
    </w:p>
    <w:p>
      <w:r>
        <w:rPr>
          <w:rFonts w:ascii="Courier New" w:hAnsi="Courier New"/>
          <w:sz w:val="18"/>
        </w:rPr>
        <w:t>9. CI_lower(t+k) = X_hat(t+k) - z*sigma_MC(t+k)</w:t>
      </w:r>
    </w:p>
    <w:p>
      <w:r>
        <w:rPr>
          <w:rFonts w:ascii="Courier New" w:hAnsi="Courier New"/>
          <w:sz w:val="18"/>
        </w:rPr>
        <w:t>10. CI_upper(t+k) = X_hat(t+k) + z*sigma_MC(t+k)</w:t>
      </w:r>
    </w:p>
    <w:p>
      <w:r>
        <w:rPr>
          <w:rFonts w:ascii="Courier New" w:hAnsi="Courier New"/>
          <w:sz w:val="18"/>
        </w:rPr>
        <w:t>11. Drift check: if X(t) deviates &gt;3*sigma from prediction, flag update</w:t>
      </w:r>
    </w:p>
    <w:p>
      <w:r>
        <w:rPr>
          <w:rFonts w:ascii="Courier New" w:hAnsi="Courier New"/>
          <w:sz w:val="18"/>
        </w:rPr>
      </w:r>
    </w:p>
    <w:p>
      <w:r>
        <w:rPr>
          <w:rFonts w:ascii="Courier New" w:hAnsi="Courier New"/>
          <w:sz w:val="18"/>
        </w:rPr>
        <w:t>12. Return {X_hat(t+k), CI_lower(t+k), CI_upper(t+k)}_{k=1}^tau</w:t>
      </w:r>
    </w:p>
    <w:p>
      <w:pPr>
        <w:pStyle w:val="Heading2"/>
      </w:pPr>
      <w:r>
        <w:rPr>
          <w:rFonts w:ascii="Times New Roman" w:hAnsi="Times New Roman"/>
        </w:rPr>
        <w:t>VI.C. Algorithm 3: Proactive Resource Allocation</w:t>
      </w:r>
    </w:p>
    <w:p>
      <w:r>
        <w:rPr>
          <w:rFonts w:ascii="Courier New" w:hAnsi="Courier New"/>
          <w:sz w:val="18"/>
        </w:rPr>
        <w:t>Algorithm 3: Proactive Resource Allocation with Robust Optimization</w:t>
      </w:r>
    </w:p>
    <w:p>
      <w:r>
        <w:rPr>
          <w:rFonts w:ascii="Courier New" w:hAnsi="Courier New"/>
          <w:sz w:val="18"/>
        </w:rPr>
        <w:t>Input:  {X_hat_s(t+k), sigma_hat_{s,k}}_{s,k}, N_PRB, kappa,</w:t>
      </w:r>
    </w:p>
    <w:p>
      <w:r>
        <w:rPr>
          <w:rFonts w:ascii="Courier New" w:hAnsi="Courier New"/>
          <w:sz w:val="18"/>
        </w:rPr>
        <w:t xml:space="preserve">        alpha_1, alpha_2, alpha_3, P_max, L_max</w:t>
      </w:r>
    </w:p>
    <w:p>
      <w:r>
        <w:rPr>
          <w:rFonts w:ascii="Courier New" w:hAnsi="Courier New"/>
          <w:sz w:val="18"/>
        </w:rPr>
        <w:t>Output: {x*_{s,k}}, {p*_s}</w:t>
      </w:r>
    </w:p>
    <w:p>
      <w:r>
        <w:rPr>
          <w:rFonts w:ascii="Courier New" w:hAnsi="Courier New"/>
          <w:sz w:val="18"/>
        </w:rPr>
      </w:r>
    </w:p>
    <w:p>
      <w:r>
        <w:rPr>
          <w:rFonts w:ascii="Courier New" w:hAnsi="Courier New"/>
          <w:sz w:val="18"/>
        </w:rPr>
        <w:t>1. For each horizon k=1..H:</w:t>
      </w:r>
    </w:p>
    <w:p>
      <w:r>
        <w:rPr>
          <w:rFonts w:ascii="Courier New" w:hAnsi="Courier New"/>
          <w:sz w:val="18"/>
        </w:rPr>
        <w:t xml:space="preserve">   a. D_robust_{s,k} = X_hat_s(t+k) + kappa*sigma_hat_{s,k}</w:t>
      </w:r>
    </w:p>
    <w:p>
      <w:r>
        <w:rPr>
          <w:rFonts w:ascii="Courier New" w:hAnsi="Courier New"/>
          <w:sz w:val="18"/>
        </w:rPr>
        <w:t xml:space="preserve">      where kappa = chi2.ppf(1-alpha,n)^0.5 / eta_s</w:t>
      </w:r>
    </w:p>
    <w:p>
      <w:r>
        <w:rPr>
          <w:rFonts w:ascii="Courier New" w:hAnsi="Courier New"/>
          <w:sz w:val="18"/>
        </w:rPr>
      </w:r>
    </w:p>
    <w:p>
      <w:r>
        <w:rPr>
          <w:rFonts w:ascii="Courier New" w:hAnsi="Courier New"/>
          <w:sz w:val="18"/>
        </w:rPr>
        <w:t>2. Formulate MILP:</w:t>
      </w:r>
    </w:p>
    <w:p>
      <w:r>
        <w:rPr>
          <w:rFonts w:ascii="Courier New" w:hAnsi="Courier New"/>
          <w:sz w:val="18"/>
        </w:rPr>
        <w:t xml:space="preserve">   Minimize: alpha_1*sum_{s,k} B_s(x_{s,k})</w:t>
      </w:r>
    </w:p>
    <w:p>
      <w:r>
        <w:rPr>
          <w:rFonts w:ascii="Courier New" w:hAnsi="Courier New"/>
          <w:sz w:val="18"/>
        </w:rPr>
        <w:t xml:space="preserve">           + alpha_2*P_total(x_{s,k},p_s)</w:t>
      </w:r>
    </w:p>
    <w:p>
      <w:r>
        <w:rPr>
          <w:rFonts w:ascii="Courier New" w:hAnsi="Courier New"/>
          <w:sz w:val="18"/>
        </w:rPr>
        <w:t xml:space="preserve">           - alpha_3*U(x_{s,k})</w:t>
      </w:r>
    </w:p>
    <w:p>
      <w:r>
        <w:rPr>
          <w:rFonts w:ascii="Courier New" w:hAnsi="Courier New"/>
          <w:sz w:val="18"/>
        </w:rPr>
        <w:t xml:space="preserve">   Subject to:</w:t>
      </w:r>
    </w:p>
    <w:p>
      <w:r>
        <w:rPr>
          <w:rFonts w:ascii="Courier New" w:hAnsi="Courier New"/>
          <w:sz w:val="18"/>
        </w:rPr>
        <w:t xml:space="preserve">   - PRB:     sum_s x_{s,k} &lt;= N_PRB, for all k</w:t>
      </w:r>
    </w:p>
    <w:p>
      <w:r>
        <w:rPr>
          <w:rFonts w:ascii="Courier New" w:hAnsi="Courier New"/>
          <w:sz w:val="18"/>
        </w:rPr>
        <w:t xml:space="preserve">   - SLA:     x_{s,k}*eta_s &gt;= D_robust_{s,k}, for all s,k</w:t>
      </w:r>
    </w:p>
    <w:p>
      <w:r>
        <w:rPr>
          <w:rFonts w:ascii="Courier New" w:hAnsi="Courier New"/>
          <w:sz w:val="18"/>
        </w:rPr>
        <w:t xml:space="preserve">   - Latency: L_s(x_{s,k}) &lt;= L_s^max, for all s</w:t>
      </w:r>
    </w:p>
    <w:p>
      <w:r>
        <w:rPr>
          <w:rFonts w:ascii="Courier New" w:hAnsi="Courier New"/>
          <w:sz w:val="18"/>
        </w:rPr>
        <w:t xml:space="preserve">   - Power:   sum_s p_s &lt;= P_max</w:t>
      </w:r>
    </w:p>
    <w:p>
      <w:r>
        <w:rPr>
          <w:rFonts w:ascii="Courier New" w:hAnsi="Courier New"/>
          <w:sz w:val="18"/>
        </w:rPr>
        <w:t xml:space="preserve">   - Domain:  x_{s,k} &gt;= 0, integer</w:t>
      </w:r>
    </w:p>
    <w:p>
      <w:r>
        <w:rPr>
          <w:rFonts w:ascii="Courier New" w:hAnsi="Courier New"/>
          <w:sz w:val="18"/>
        </w:rPr>
      </w:r>
    </w:p>
    <w:p>
      <w:r>
        <w:rPr>
          <w:rFonts w:ascii="Courier New" w:hAnsi="Courier New"/>
          <w:sz w:val="18"/>
        </w:rPr>
        <w:t>3. Solve with branch-and-bound (LP relaxation for real-time)</w:t>
      </w:r>
    </w:p>
    <w:p>
      <w:r>
        <w:rPr>
          <w:rFonts w:ascii="Courier New" w:hAnsi="Courier New"/>
          <w:sz w:val="18"/>
        </w:rPr>
        <w:t>4. If infeasible: priority-based degradation</w:t>
      </w:r>
    </w:p>
    <w:p>
      <w:r>
        <w:rPr>
          <w:rFonts w:ascii="Courier New" w:hAnsi="Courier New"/>
          <w:sz w:val="18"/>
        </w:rPr>
        <w:t xml:space="preserve">   (maintain URLLC, reduce eMBB and mMTC proportionally)</w:t>
      </w:r>
    </w:p>
    <w:p>
      <w:r>
        <w:rPr>
          <w:rFonts w:ascii="Courier New" w:hAnsi="Courier New"/>
          <w:sz w:val="18"/>
        </w:rPr>
        <w:t>5. Slice adaptation (Eq. 44) for smooth transitions</w:t>
      </w:r>
    </w:p>
    <w:p>
      <w:r>
        <w:rPr>
          <w:rFonts w:ascii="Courier New" w:hAnsi="Courier New"/>
          <w:sz w:val="18"/>
        </w:rPr>
      </w:r>
    </w:p>
    <w:p>
      <w:r>
        <w:rPr>
          <w:rFonts w:ascii="Courier New" w:hAnsi="Courier New"/>
          <w:sz w:val="18"/>
        </w:rPr>
        <w:t>6. Return {x*_{s,k}}, {p*_s}</w:t>
      </w:r>
    </w:p>
    <w:p>
      <w:pPr>
        <w:pStyle w:val="Heading2"/>
      </w:pPr>
      <w:r>
        <w:rPr>
          <w:rFonts w:ascii="Times New Roman" w:hAnsi="Times New Roman"/>
        </w:rPr>
        <w:t>VI.D. Algorithm 4: Online Update with Drift Detection</w:t>
      </w:r>
    </w:p>
    <w:p>
      <w:r>
        <w:rPr>
          <w:rFonts w:ascii="Courier New" w:hAnsi="Courier New"/>
          <w:sz w:val="18"/>
        </w:rPr>
        <w:t>Algorithm 4: Online Model Update with CUSUM Drift Detection</w:t>
      </w:r>
    </w:p>
    <w:p>
      <w:r>
        <w:rPr>
          <w:rFonts w:ascii="Courier New" w:hAnsi="Courier New"/>
          <w:sz w:val="18"/>
        </w:rPr>
        <w:t>Input:  theta_t, observation buffer O_t (W=672, last 7 days),</w:t>
      </w:r>
    </w:p>
    <w:p>
      <w:r>
        <w:rPr>
          <w:rFonts w:ascii="Courier New" w:hAnsi="Courier New"/>
          <w:sz w:val="18"/>
        </w:rPr>
        <w:t xml:space="preserve">        CUSUM threshold h=5</w:t>
      </w:r>
    </w:p>
    <w:p>
      <w:r>
        <w:rPr>
          <w:rFonts w:ascii="Courier New" w:hAnsi="Courier New"/>
          <w:sz w:val="18"/>
        </w:rPr>
        <w:t>Output: Updated theta_{t+1} or theta_t</w:t>
      </w:r>
    </w:p>
    <w:p>
      <w:r>
        <w:rPr>
          <w:rFonts w:ascii="Courier New" w:hAnsi="Courier New"/>
          <w:sz w:val="18"/>
        </w:rPr>
      </w:r>
    </w:p>
    <w:p>
      <w:r>
        <w:rPr>
          <w:rFonts w:ascii="Courier New" w:hAnsi="Courier New"/>
          <w:sz w:val="18"/>
        </w:rPr>
        <w:t>1. Residual: e(t) = X(t) - X_hat(t|t-1)</w:t>
      </w:r>
    </w:p>
    <w:p>
      <w:r>
        <w:rPr>
          <w:rFonts w:ascii="Courier New" w:hAnsi="Courier New"/>
          <w:sz w:val="18"/>
        </w:rPr>
        <w:t>2. CUSUM:    S_t = max(0, S_{t-1} + e(t) - delta)</w:t>
      </w:r>
    </w:p>
    <w:p>
      <w:r>
        <w:rPr>
          <w:rFonts w:ascii="Courier New" w:hAnsi="Courier New"/>
          <w:sz w:val="18"/>
        </w:rPr>
        <w:t xml:space="preserve">             where delta = 0.5*sigma_e</w:t>
      </w:r>
    </w:p>
    <w:p>
      <w:r>
        <w:rPr>
          <w:rFonts w:ascii="Courier New" w:hAnsi="Courier New"/>
          <w:sz w:val="18"/>
        </w:rPr>
        <w:t>3. If S_t &gt; h (drift detected):</w:t>
      </w:r>
    </w:p>
    <w:p>
      <w:r>
        <w:rPr>
          <w:rFonts w:ascii="Courier New" w:hAnsi="Courier New"/>
          <w:sz w:val="18"/>
        </w:rPr>
        <w:t xml:space="preserve">   a. Alert: 'Concept drift detected at t, S_t = {S_t}'</w:t>
      </w:r>
    </w:p>
    <w:p>
      <w:r>
        <w:rPr>
          <w:rFonts w:ascii="Courier New" w:hAnsi="Courier New"/>
          <w:sz w:val="18"/>
        </w:rPr>
        <w:t xml:space="preserve">   b. Reset: S_t = 0</w:t>
      </w:r>
    </w:p>
    <w:p>
      <w:r>
        <w:rPr>
          <w:rFonts w:ascii="Courier New" w:hAnsi="Courier New"/>
          <w:sz w:val="18"/>
        </w:rPr>
        <w:t xml:space="preserve">   c. D_recent = last W observations from O_t</w:t>
      </w:r>
    </w:p>
    <w:p>
      <w:r>
        <w:rPr>
          <w:rFonts w:ascii="Courier New" w:hAnsi="Courier New"/>
          <w:sz w:val="18"/>
        </w:rPr>
        <w:t xml:space="preserve">   d. Fine-tune: 10 gradient steps on D_recent, lr=eta/10</w:t>
      </w:r>
    </w:p>
    <w:p>
      <w:r>
        <w:rPr>
          <w:rFonts w:ascii="Courier New" w:hAnsi="Courier New"/>
          <w:sz w:val="18"/>
        </w:rPr>
        <w:t xml:space="preserve">      - Update only Layer 4 &amp; 5 (freeze Layers 1-3)</w:t>
      </w:r>
    </w:p>
    <w:p>
      <w:r>
        <w:rPr>
          <w:rFonts w:ascii="Courier New" w:hAnsi="Courier New"/>
          <w:sz w:val="18"/>
        </w:rPr>
        <w:t xml:space="preserve">      - Dropout p=0.5</w:t>
      </w:r>
    </w:p>
    <w:p>
      <w:r>
        <w:rPr>
          <w:rFonts w:ascii="Courier New" w:hAnsi="Courier New"/>
          <w:sz w:val="18"/>
        </w:rPr>
        <w:t xml:space="preserve">   e. Validate on last 5% of D_recent:</w:t>
      </w:r>
    </w:p>
    <w:p>
      <w:r>
        <w:rPr>
          <w:rFonts w:ascii="Courier New" w:hAnsi="Courier New"/>
          <w:sz w:val="18"/>
        </w:rPr>
        <w:t xml:space="preserve">      if val_loss improves -&gt; commit theta_{t+1}</w:t>
      </w:r>
    </w:p>
    <w:p>
      <w:r>
        <w:rPr>
          <w:rFonts w:ascii="Courier New" w:hAnsi="Courier New"/>
          <w:sz w:val="18"/>
        </w:rPr>
        <w:t xml:space="preserve">      else -&gt; revert to theta_t</w:t>
      </w:r>
    </w:p>
    <w:p>
      <w:r>
        <w:rPr>
          <w:rFonts w:ascii="Courier New" w:hAnsi="Courier New"/>
          <w:sz w:val="18"/>
        </w:rPr>
        <w:t>4. Else: theta_{t+1} = theta_t</w:t>
      </w:r>
    </w:p>
    <w:p>
      <w:r>
        <w:rPr>
          <w:rFonts w:ascii="Courier New" w:hAnsi="Courier New"/>
          <w:sz w:val="18"/>
        </w:rPr>
        <w:t>5. Return theta_{t+1}</w:t>
      </w:r>
    </w:p>
    <w:p>
      <w:pPr>
        <w:pStyle w:val="Heading2"/>
      </w:pPr>
      <w:r>
        <w:rPr>
          <w:rFonts w:ascii="Times New Roman" w:hAnsi="Times New Roman"/>
        </w:rPr>
        <w:t>VI.E. Algorithm 5: Multi-Objective Optimization with NSGA-II</w:t>
      </w:r>
    </w:p>
    <w:p>
      <w:r>
        <w:rPr>
          <w:rFonts w:ascii="Courier New" w:hAnsi="Courier New"/>
          <w:sz w:val="18"/>
        </w:rPr>
        <w:t>Algorithm 5: Multi-Objective Resource Optimization (Adapted NSGA-II)</w:t>
      </w:r>
    </w:p>
    <w:p>
      <w:r>
        <w:rPr>
          <w:rFonts w:ascii="Courier New" w:hAnsi="Courier New"/>
          <w:sz w:val="18"/>
        </w:rPr>
        <w:t>Input:  {f_1: capacity cost, f_2: energy, f_3: latency},</w:t>
      </w:r>
    </w:p>
    <w:p>
      <w:r>
        <w:rPr>
          <w:rFonts w:ascii="Courier New" w:hAnsi="Courier New"/>
          <w:sz w:val="18"/>
        </w:rPr>
        <w:t xml:space="preserve">        N=50, G=100, p_c=0.9, p_m=0.1</w:t>
      </w:r>
    </w:p>
    <w:p>
      <w:r>
        <w:rPr>
          <w:rFonts w:ascii="Courier New" w:hAnsi="Courier New"/>
          <w:sz w:val="18"/>
        </w:rPr>
        <w:t>Output: Pareto-optimal set P*</w:t>
      </w:r>
    </w:p>
    <w:p>
      <w:r>
        <w:rPr>
          <w:rFonts w:ascii="Courier New" w:hAnsi="Courier New"/>
          <w:sz w:val="18"/>
        </w:rPr>
      </w:r>
    </w:p>
    <w:p>
      <w:r>
        <w:rPr>
          <w:rFonts w:ascii="Courier New" w:hAnsi="Courier New"/>
          <w:sz w:val="18"/>
        </w:rPr>
        <w:t>1. Initialize P_0 = {x^(i)}_{i=1}^N (random feasible allocations)</w:t>
      </w:r>
    </w:p>
    <w:p>
      <w:r>
        <w:rPr>
          <w:rFonts w:ascii="Courier New" w:hAnsi="Courier New"/>
          <w:sz w:val="18"/>
        </w:rPr>
        <w:t>2. Evaluate F(x^(i)) = [f_1(x^(i)), f_2(x^(i)), f_3(x^(i))]</w:t>
      </w:r>
    </w:p>
    <w:p>
      <w:r>
        <w:rPr>
          <w:rFonts w:ascii="Courier New" w:hAnsi="Courier New"/>
          <w:sz w:val="18"/>
        </w:rPr>
      </w:r>
    </w:p>
    <w:p>
      <w:r>
        <w:rPr>
          <w:rFonts w:ascii="Courier New" w:hAnsi="Courier New"/>
          <w:sz w:val="18"/>
        </w:rPr>
        <w:t>3. For g = 1 to G:</w:t>
      </w:r>
    </w:p>
    <w:p>
      <w:r>
        <w:rPr>
          <w:rFonts w:ascii="Courier New" w:hAnsi="Courier New"/>
          <w:sz w:val="18"/>
        </w:rPr>
        <w:t xml:space="preserve">   a. Non-dominated sorting: assign rank r(x)</w:t>
      </w:r>
    </w:p>
    <w:p>
      <w:r>
        <w:rPr>
          <w:rFonts w:ascii="Courier New" w:hAnsi="Courier New"/>
          <w:sz w:val="18"/>
        </w:rPr>
        <w:t xml:space="preserve">   b. Crowding distance d(x) for diversity preservation</w:t>
      </w:r>
    </w:p>
    <w:p>
      <w:r>
        <w:rPr>
          <w:rFonts w:ascii="Courier New" w:hAnsi="Courier New"/>
          <w:sz w:val="18"/>
        </w:rPr>
        <w:t xml:space="preserve">   c. Tournament selection based on (rank, crowding distance)</w:t>
      </w:r>
    </w:p>
    <w:p>
      <w:r>
        <w:rPr>
          <w:rFonts w:ascii="Courier New" w:hAnsi="Courier New"/>
          <w:sz w:val="18"/>
        </w:rPr>
        <w:t xml:space="preserve">   d. Simulated Binary Crossover (SBX): generate offspring Q_g</w:t>
      </w:r>
    </w:p>
    <w:p>
      <w:r>
        <w:rPr>
          <w:rFonts w:ascii="Courier New" w:hAnsi="Courier New"/>
          <w:sz w:val="18"/>
        </w:rPr>
        <w:t xml:space="preserve">   e. Polynomial mutation (probability p_m)</w:t>
      </w:r>
    </w:p>
    <w:p>
      <w:r>
        <w:rPr>
          <w:rFonts w:ascii="Courier New" w:hAnsi="Courier New"/>
          <w:sz w:val="18"/>
        </w:rPr>
        <w:t xml:space="preserve">   f. Repair: project infeasible to feasible set (Eqs. 36-39)</w:t>
      </w:r>
    </w:p>
    <w:p>
      <w:r>
        <w:rPr>
          <w:rFonts w:ascii="Courier New" w:hAnsi="Courier New"/>
          <w:sz w:val="18"/>
        </w:rPr>
        <w:t xml:space="preserve">   g. Merge: R_g = P_g union Q_g (size 2N)</w:t>
      </w:r>
    </w:p>
    <w:p>
      <w:r>
        <w:rPr>
          <w:rFonts w:ascii="Courier New" w:hAnsi="Courier New"/>
          <w:sz w:val="18"/>
        </w:rPr>
        <w:t xml:space="preserve">   h. Select P_{g+1}: top N from R_g by (rank, crowding distance)</w:t>
      </w:r>
    </w:p>
    <w:p>
      <w:r>
        <w:rPr>
          <w:rFonts w:ascii="Courier New" w:hAnsi="Courier New"/>
          <w:sz w:val="18"/>
        </w:rPr>
      </w:r>
    </w:p>
    <w:p>
      <w:r>
        <w:rPr>
          <w:rFonts w:ascii="Courier New" w:hAnsi="Courier New"/>
          <w:sz w:val="18"/>
        </w:rPr>
        <w:t>4. Extract Pareto front: P* = {x in P_G : rank(x)=1}</w:t>
      </w:r>
    </w:p>
    <w:p>
      <w:r>
        <w:rPr>
          <w:rFonts w:ascii="Courier New" w:hAnsi="Courier New"/>
          <w:sz w:val="18"/>
        </w:rPr>
        <w:t>5. Select operating point: minimize alpha_1*f_1+alpha_2*f_2+alpha_3*f_3</w:t>
      </w:r>
    </w:p>
    <w:p>
      <w:r>
        <w:rPr>
          <w:rFonts w:ascii="Courier New" w:hAnsi="Courier New"/>
          <w:sz w:val="18"/>
        </w:rPr>
        <w:t xml:space="preserve">   with alpha_1=0.4, alpha_2=0.35, alpha_3=0.25</w:t>
      </w:r>
    </w:p>
    <w:p>
      <w:r>
        <w:rPr>
          <w:rFonts w:ascii="Courier New" w:hAnsi="Courier New"/>
          <w:sz w:val="18"/>
        </w:rPr>
        <w:t>6. Return P*, selected x*</w:t>
      </w:r>
    </w:p>
    <w:p>
      <w:pPr>
        <w:pStyle w:val="Heading1"/>
      </w:pPr>
      <w:r>
        <w:rPr>
          <w:rFonts w:ascii="Times New Roman" w:hAnsi="Times New Roman"/>
        </w:rPr>
        <w:t>VII. Performance Evaluation and Results</w:t>
      </w:r>
    </w:p>
    <w:p>
      <w:pPr>
        <w:pStyle w:val="Heading2"/>
      </w:pPr>
      <w:r>
        <w:rPr>
          <w:rFonts w:ascii="Times New Roman" w:hAnsi="Times New Roman"/>
        </w:rPr>
        <w:t>VII.A. Experimental Setup</w:t>
      </w:r>
    </w:p>
    <w:p>
      <w:pPr/>
      <w:r>
        <w:rPr>
          <w:rFonts w:ascii="Times New Roman" w:hAnsi="Times New Roman"/>
          <w:sz w:val="20"/>
        </w:rPr>
        <w:t>Experiments are conducted on the three datasets described in Section III using a PyTorch implementation. The hardware configuration consists of an NVIDIA V100 32GB GPU and Intel Xeon E5-2698v4 (20 cores, 2.20 GHz) CPU. The proposed model uses the following hyperparameters, determined by Bayesian optimization on the validation set: window w=96 steps, hidden units d=256 (encoder/decoder), BiLSTM units 128 per direction (256 bidirectional), attention dimension d_a=128, dropout p=0.3, learning rate η=10^{-3} with cosine annealing, batch size 64, maximum epochs 200 with early stopping (patience=15).</w:t>
      </w:r>
    </w:p>
    <w:p>
      <w:pPr/>
      <w:r>
        <w:rPr>
          <w:rFonts w:ascii="Times New Roman" w:hAnsi="Times New Roman"/>
          <w:sz w:val="20"/>
        </w:rPr>
        <w:t>All experiments use fixed random seed SEED=42 for PyTorch (torch.manual_seed(42)), NumPy (numpy.random.seed(42)), and CUDA (torch.cuda.manual_seed_all(42)). The complete simulation code, trained model checkpoints, and generated datasets are available at [URL]. Environment specifications are provided in environment.yml (conda) and requirements.txt (pip) included with the code.</w:t>
      </w:r>
    </w:p>
    <w:p>
      <w:pPr>
        <w:pStyle w:val="Heading2"/>
      </w:pPr>
      <w:r>
        <w:rPr>
          <w:rFonts w:ascii="Times New Roman" w:hAnsi="Times New Roman"/>
        </w:rPr>
        <w:t>VII.B. Precision Comparison with Alternative Methods</w:t>
      </w:r>
    </w:p>
    <w:p>
      <w:pPr/>
      <w:r>
        <w:rPr>
          <w:rFonts w:ascii="Times New Roman" w:hAnsi="Times New Roman"/>
          <w:sz w:val="20"/>
        </w:rPr>
        <w:t>Table I presents the prediction precision results for a 1-hour horizon (τ=24 steps of 15 min) on the Milano dataset, comparing the proposed LSTM against nine alternative methods.</w:t>
      </w:r>
    </w:p>
    <w:p>
      <w:r>
        <w:rPr>
          <w:rFonts w:ascii="Times New Roman" w:hAnsi="Times New Roman"/>
          <w:b/>
          <w:sz w:val="18"/>
        </w:rPr>
        <w:t>TABLE I. Prediction Precision Comparison: 1-hour horizon, Milano dataset (5-fold cross-validation).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Method</w:t>
            </w:r>
          </w:p>
        </w:tc>
        <w:tc>
          <w:tcPr>
            <w:tcW w:type="dxa" w:w="1728"/>
          </w:tcPr>
          <w:p>
            <w:r>
              <w:rPr>
                <w:rFonts w:ascii="Times New Roman" w:hAnsi="Times New Roman"/>
                <w:b/>
                <w:sz w:val="18"/>
              </w:rPr>
              <w:t>RMSE</w:t>
            </w:r>
          </w:p>
        </w:tc>
        <w:tc>
          <w:tcPr>
            <w:tcW w:type="dxa" w:w="1728"/>
          </w:tcPr>
          <w:p>
            <w:r>
              <w:rPr>
                <w:rFonts w:ascii="Times New Roman" w:hAnsi="Times New Roman"/>
                <w:b/>
                <w:sz w:val="18"/>
              </w:rPr>
              <w:t>MAE</w:t>
            </w:r>
          </w:p>
        </w:tc>
        <w:tc>
          <w:tcPr>
            <w:tcW w:type="dxa" w:w="1728"/>
          </w:tcPr>
          <w:p>
            <w:r>
              <w:rPr>
                <w:rFonts w:ascii="Times New Roman" w:hAnsi="Times New Roman"/>
                <w:b/>
                <w:sz w:val="18"/>
              </w:rPr>
              <w:t>MAPE (%)</w:t>
            </w:r>
          </w:p>
        </w:tc>
        <w:tc>
          <w:tcPr>
            <w:tcW w:type="dxa" w:w="1728"/>
          </w:tcPr>
          <w:p>
            <w:r>
              <w:rPr>
                <w:rFonts w:ascii="Times New Roman" w:hAnsi="Times New Roman"/>
                <w:b/>
                <w:sz w:val="18"/>
              </w:rPr>
              <w:t>R²</w:t>
            </w:r>
          </w:p>
        </w:tc>
      </w:tr>
      <w:tr>
        <w:tc>
          <w:tcPr>
            <w:tcW w:type="dxa" w:w="1728"/>
          </w:tcPr>
          <w:p>
            <w:r>
              <w:rPr>
                <w:rFonts w:ascii="Times New Roman" w:hAnsi="Times New Roman"/>
                <w:sz w:val="18"/>
              </w:rPr>
              <w:t>ARIMA</w:t>
            </w:r>
          </w:p>
        </w:tc>
        <w:tc>
          <w:tcPr>
            <w:tcW w:type="dxa" w:w="1728"/>
          </w:tcPr>
          <w:p>
            <w:r>
              <w:rPr>
                <w:rFonts w:ascii="Times New Roman" w:hAnsi="Times New Roman"/>
                <w:sz w:val="18"/>
              </w:rPr>
              <w:t>7.82 (±0.31)</w:t>
            </w:r>
          </w:p>
        </w:tc>
        <w:tc>
          <w:tcPr>
            <w:tcW w:type="dxa" w:w="1728"/>
          </w:tcPr>
          <w:p>
            <w:r>
              <w:rPr>
                <w:rFonts w:ascii="Times New Roman" w:hAnsi="Times New Roman"/>
                <w:sz w:val="18"/>
              </w:rPr>
              <w:t>5.94 (±0.25)</w:t>
            </w:r>
          </w:p>
        </w:tc>
        <w:tc>
          <w:tcPr>
            <w:tcW w:type="dxa" w:w="1728"/>
          </w:tcPr>
          <w:p>
            <w:r>
              <w:rPr>
                <w:rFonts w:ascii="Times New Roman" w:hAnsi="Times New Roman"/>
                <w:sz w:val="18"/>
              </w:rPr>
              <w:t>16.4 (±1.1)</w:t>
            </w:r>
          </w:p>
        </w:tc>
        <w:tc>
          <w:tcPr>
            <w:tcW w:type="dxa" w:w="1728"/>
          </w:tcPr>
          <w:p>
            <w:r>
              <w:rPr>
                <w:rFonts w:ascii="Times New Roman" w:hAnsi="Times New Roman"/>
                <w:sz w:val="18"/>
              </w:rPr>
              <w:t>0.73</w:t>
            </w:r>
          </w:p>
        </w:tc>
      </w:tr>
      <w:tr>
        <w:tc>
          <w:tcPr>
            <w:tcW w:type="dxa" w:w="1728"/>
          </w:tcPr>
          <w:p>
            <w:r>
              <w:rPr>
                <w:rFonts w:ascii="Times New Roman" w:hAnsi="Times New Roman"/>
                <w:sz w:val="18"/>
              </w:rPr>
              <w:t>SARIMA</w:t>
            </w:r>
          </w:p>
        </w:tc>
        <w:tc>
          <w:tcPr>
            <w:tcW w:type="dxa" w:w="1728"/>
          </w:tcPr>
          <w:p>
            <w:r>
              <w:rPr>
                <w:rFonts w:ascii="Times New Roman" w:hAnsi="Times New Roman"/>
                <w:sz w:val="18"/>
              </w:rPr>
              <w:t>7.21 (±0.28)</w:t>
            </w:r>
          </w:p>
        </w:tc>
        <w:tc>
          <w:tcPr>
            <w:tcW w:type="dxa" w:w="1728"/>
          </w:tcPr>
          <w:p>
            <w:r>
              <w:rPr>
                <w:rFonts w:ascii="Times New Roman" w:hAnsi="Times New Roman"/>
                <w:sz w:val="18"/>
              </w:rPr>
              <w:t>5.47 (±0.22)</w:t>
            </w:r>
          </w:p>
        </w:tc>
        <w:tc>
          <w:tcPr>
            <w:tcW w:type="dxa" w:w="1728"/>
          </w:tcPr>
          <w:p>
            <w:r>
              <w:rPr>
                <w:rFonts w:ascii="Times New Roman" w:hAnsi="Times New Roman"/>
                <w:sz w:val="18"/>
              </w:rPr>
              <w:t>14.9 (±0.9)</w:t>
            </w:r>
          </w:p>
        </w:tc>
        <w:tc>
          <w:tcPr>
            <w:tcW w:type="dxa" w:w="1728"/>
          </w:tcPr>
          <w:p>
            <w:r>
              <w:rPr>
                <w:rFonts w:ascii="Times New Roman" w:hAnsi="Times New Roman"/>
                <w:sz w:val="18"/>
              </w:rPr>
              <w:t>0.76</w:t>
            </w:r>
          </w:p>
        </w:tc>
      </w:tr>
      <w:tr>
        <w:tc>
          <w:tcPr>
            <w:tcW w:type="dxa" w:w="1728"/>
          </w:tcPr>
          <w:p>
            <w:r>
              <w:rPr>
                <w:rFonts w:ascii="Times New Roman" w:hAnsi="Times New Roman"/>
                <w:sz w:val="18"/>
              </w:rPr>
              <w:t>SVR</w:t>
            </w:r>
          </w:p>
        </w:tc>
        <w:tc>
          <w:tcPr>
            <w:tcW w:type="dxa" w:w="1728"/>
          </w:tcPr>
          <w:p>
            <w:r>
              <w:rPr>
                <w:rFonts w:ascii="Times New Roman" w:hAnsi="Times New Roman"/>
                <w:sz w:val="18"/>
              </w:rPr>
              <w:t>6.44 (±0.19)</w:t>
            </w:r>
          </w:p>
        </w:tc>
        <w:tc>
          <w:tcPr>
            <w:tcW w:type="dxa" w:w="1728"/>
          </w:tcPr>
          <w:p>
            <w:r>
              <w:rPr>
                <w:rFonts w:ascii="Times New Roman" w:hAnsi="Times New Roman"/>
                <w:sz w:val="18"/>
              </w:rPr>
              <w:t>4.83 (±0.16)</w:t>
            </w:r>
          </w:p>
        </w:tc>
        <w:tc>
          <w:tcPr>
            <w:tcW w:type="dxa" w:w="1728"/>
          </w:tcPr>
          <w:p>
            <w:r>
              <w:rPr>
                <w:rFonts w:ascii="Times New Roman" w:hAnsi="Times New Roman"/>
                <w:sz w:val="18"/>
              </w:rPr>
              <w:t>12.8 (±0.7)</w:t>
            </w:r>
          </w:p>
        </w:tc>
        <w:tc>
          <w:tcPr>
            <w:tcW w:type="dxa" w:w="1728"/>
          </w:tcPr>
          <w:p>
            <w:r>
              <w:rPr>
                <w:rFonts w:ascii="Times New Roman" w:hAnsi="Times New Roman"/>
                <w:sz w:val="18"/>
              </w:rPr>
              <w:t>0.80</w:t>
            </w:r>
          </w:p>
        </w:tc>
      </w:tr>
      <w:tr>
        <w:tc>
          <w:tcPr>
            <w:tcW w:type="dxa" w:w="1728"/>
          </w:tcPr>
          <w:p>
            <w:r>
              <w:rPr>
                <w:rFonts w:ascii="Times New Roman" w:hAnsi="Times New Roman"/>
                <w:sz w:val="18"/>
              </w:rPr>
              <w:t>Random Forest</w:t>
            </w:r>
          </w:p>
        </w:tc>
        <w:tc>
          <w:tcPr>
            <w:tcW w:type="dxa" w:w="1728"/>
          </w:tcPr>
          <w:p>
            <w:r>
              <w:rPr>
                <w:rFonts w:ascii="Times New Roman" w:hAnsi="Times New Roman"/>
                <w:sz w:val="18"/>
              </w:rPr>
              <w:t>6.02 (±0.17)</w:t>
            </w:r>
          </w:p>
        </w:tc>
        <w:tc>
          <w:tcPr>
            <w:tcW w:type="dxa" w:w="1728"/>
          </w:tcPr>
          <w:p>
            <w:r>
              <w:rPr>
                <w:rFonts w:ascii="Times New Roman" w:hAnsi="Times New Roman"/>
                <w:sz w:val="18"/>
              </w:rPr>
              <w:t>4.51 (±0.14)</w:t>
            </w:r>
          </w:p>
        </w:tc>
        <w:tc>
          <w:tcPr>
            <w:tcW w:type="dxa" w:w="1728"/>
          </w:tcPr>
          <w:p>
            <w:r>
              <w:rPr>
                <w:rFonts w:ascii="Times New Roman" w:hAnsi="Times New Roman"/>
                <w:sz w:val="18"/>
              </w:rPr>
              <w:t>11.6 (±0.6)</w:t>
            </w:r>
          </w:p>
        </w:tc>
        <w:tc>
          <w:tcPr>
            <w:tcW w:type="dxa" w:w="1728"/>
          </w:tcPr>
          <w:p>
            <w:r>
              <w:rPr>
                <w:rFonts w:ascii="Times New Roman" w:hAnsi="Times New Roman"/>
                <w:sz w:val="18"/>
              </w:rPr>
              <w:t>0.83</w:t>
            </w:r>
          </w:p>
        </w:tc>
      </w:tr>
      <w:tr>
        <w:tc>
          <w:tcPr>
            <w:tcW w:type="dxa" w:w="1728"/>
          </w:tcPr>
          <w:p>
            <w:r>
              <w:rPr>
                <w:rFonts w:ascii="Times New Roman" w:hAnsi="Times New Roman"/>
                <w:sz w:val="18"/>
              </w:rPr>
              <w:t>Simple RNN</w:t>
            </w:r>
          </w:p>
        </w:tc>
        <w:tc>
          <w:tcPr>
            <w:tcW w:type="dxa" w:w="1728"/>
          </w:tcPr>
          <w:p>
            <w:r>
              <w:rPr>
                <w:rFonts w:ascii="Times New Roman" w:hAnsi="Times New Roman"/>
                <w:sz w:val="18"/>
              </w:rPr>
              <w:t>5.63 (±0.22)</w:t>
            </w:r>
          </w:p>
        </w:tc>
        <w:tc>
          <w:tcPr>
            <w:tcW w:type="dxa" w:w="1728"/>
          </w:tcPr>
          <w:p>
            <w:r>
              <w:rPr>
                <w:rFonts w:ascii="Times New Roman" w:hAnsi="Times New Roman"/>
                <w:sz w:val="18"/>
              </w:rPr>
              <w:t>4.19 (±0.18)</w:t>
            </w:r>
          </w:p>
        </w:tc>
        <w:tc>
          <w:tcPr>
            <w:tcW w:type="dxa" w:w="1728"/>
          </w:tcPr>
          <w:p>
            <w:r>
              <w:rPr>
                <w:rFonts w:ascii="Times New Roman" w:hAnsi="Times New Roman"/>
                <w:sz w:val="18"/>
              </w:rPr>
              <w:t>10.9 (±0.8)</w:t>
            </w:r>
          </w:p>
        </w:tc>
        <w:tc>
          <w:tcPr>
            <w:tcW w:type="dxa" w:w="1728"/>
          </w:tcPr>
          <w:p>
            <w:r>
              <w:rPr>
                <w:rFonts w:ascii="Times New Roman" w:hAnsi="Times New Roman"/>
                <w:sz w:val="18"/>
              </w:rPr>
              <w:t>0.85</w:t>
            </w:r>
          </w:p>
        </w:tc>
      </w:tr>
      <w:tr>
        <w:tc>
          <w:tcPr>
            <w:tcW w:type="dxa" w:w="1728"/>
          </w:tcPr>
          <w:p>
            <w:r>
              <w:rPr>
                <w:rFonts w:ascii="Times New Roman" w:hAnsi="Times New Roman"/>
                <w:sz w:val="18"/>
              </w:rPr>
              <w:t>Plain LSTM</w:t>
            </w:r>
          </w:p>
        </w:tc>
        <w:tc>
          <w:tcPr>
            <w:tcW w:type="dxa" w:w="1728"/>
          </w:tcPr>
          <w:p>
            <w:r>
              <w:rPr>
                <w:rFonts w:ascii="Times New Roman" w:hAnsi="Times New Roman"/>
                <w:sz w:val="18"/>
              </w:rPr>
              <w:t>4.58 (±0.16)</w:t>
            </w:r>
          </w:p>
        </w:tc>
        <w:tc>
          <w:tcPr>
            <w:tcW w:type="dxa" w:w="1728"/>
          </w:tcPr>
          <w:p>
            <w:r>
              <w:rPr>
                <w:rFonts w:ascii="Times New Roman" w:hAnsi="Times New Roman"/>
                <w:sz w:val="18"/>
              </w:rPr>
              <w:t>3.41 (±0.13)</w:t>
            </w:r>
          </w:p>
        </w:tc>
        <w:tc>
          <w:tcPr>
            <w:tcW w:type="dxa" w:w="1728"/>
          </w:tcPr>
          <w:p>
            <w:r>
              <w:rPr>
                <w:rFonts w:ascii="Times New Roman" w:hAnsi="Times New Roman"/>
                <w:sz w:val="18"/>
              </w:rPr>
              <w:t>9.3 (±0.5)</w:t>
            </w:r>
          </w:p>
        </w:tc>
        <w:tc>
          <w:tcPr>
            <w:tcW w:type="dxa" w:w="1728"/>
          </w:tcPr>
          <w:p>
            <w:r>
              <w:rPr>
                <w:rFonts w:ascii="Times New Roman" w:hAnsi="Times New Roman"/>
                <w:sz w:val="18"/>
              </w:rPr>
              <w:t>0.90</w:t>
            </w:r>
          </w:p>
        </w:tc>
      </w:tr>
      <w:tr>
        <w:tc>
          <w:tcPr>
            <w:tcW w:type="dxa" w:w="1728"/>
          </w:tcPr>
          <w:p>
            <w:r>
              <w:rPr>
                <w:rFonts w:ascii="Times New Roman" w:hAnsi="Times New Roman"/>
                <w:sz w:val="18"/>
              </w:rPr>
              <w:t>LSTM+Dropout</w:t>
            </w:r>
          </w:p>
        </w:tc>
        <w:tc>
          <w:tcPr>
            <w:tcW w:type="dxa" w:w="1728"/>
          </w:tcPr>
          <w:p>
            <w:r>
              <w:rPr>
                <w:rFonts w:ascii="Times New Roman" w:hAnsi="Times New Roman"/>
                <w:sz w:val="18"/>
              </w:rPr>
              <w:t>4.31 (±0.15)</w:t>
            </w:r>
          </w:p>
        </w:tc>
        <w:tc>
          <w:tcPr>
            <w:tcW w:type="dxa" w:w="1728"/>
          </w:tcPr>
          <w:p>
            <w:r>
              <w:rPr>
                <w:rFonts w:ascii="Times New Roman" w:hAnsi="Times New Roman"/>
                <w:sz w:val="18"/>
              </w:rPr>
              <w:t>3.22 (±0.12)</w:t>
            </w:r>
          </w:p>
        </w:tc>
        <w:tc>
          <w:tcPr>
            <w:tcW w:type="dxa" w:w="1728"/>
          </w:tcPr>
          <w:p>
            <w:r>
              <w:rPr>
                <w:rFonts w:ascii="Times New Roman" w:hAnsi="Times New Roman"/>
                <w:sz w:val="18"/>
              </w:rPr>
              <w:t>8.9 (±0.4)</w:t>
            </w:r>
          </w:p>
        </w:tc>
        <w:tc>
          <w:tcPr>
            <w:tcW w:type="dxa" w:w="1728"/>
          </w:tcPr>
          <w:p>
            <w:r>
              <w:rPr>
                <w:rFonts w:ascii="Times New Roman" w:hAnsi="Times New Roman"/>
                <w:sz w:val="18"/>
              </w:rPr>
              <w:t>0.91</w:t>
            </w:r>
          </w:p>
        </w:tc>
      </w:tr>
      <w:tr>
        <w:tc>
          <w:tcPr>
            <w:tcW w:type="dxa" w:w="1728"/>
          </w:tcPr>
          <w:p>
            <w:r>
              <w:rPr>
                <w:rFonts w:ascii="Times New Roman" w:hAnsi="Times New Roman"/>
                <w:sz w:val="18"/>
              </w:rPr>
              <w:t>BiLSTM</w:t>
            </w:r>
          </w:p>
        </w:tc>
        <w:tc>
          <w:tcPr>
            <w:tcW w:type="dxa" w:w="1728"/>
          </w:tcPr>
          <w:p>
            <w:r>
              <w:rPr>
                <w:rFonts w:ascii="Times New Roman" w:hAnsi="Times New Roman"/>
                <w:sz w:val="18"/>
              </w:rPr>
              <w:t>4.17 (±0.14)</w:t>
            </w:r>
          </w:p>
        </w:tc>
        <w:tc>
          <w:tcPr>
            <w:tcW w:type="dxa" w:w="1728"/>
          </w:tcPr>
          <w:p>
            <w:r>
              <w:rPr>
                <w:rFonts w:ascii="Times New Roman" w:hAnsi="Times New Roman"/>
                <w:sz w:val="18"/>
              </w:rPr>
              <w:t>3.11 (±0.11)</w:t>
            </w:r>
          </w:p>
        </w:tc>
        <w:tc>
          <w:tcPr>
            <w:tcW w:type="dxa" w:w="1728"/>
          </w:tcPr>
          <w:p>
            <w:r>
              <w:rPr>
                <w:rFonts w:ascii="Times New Roman" w:hAnsi="Times New Roman"/>
                <w:sz w:val="18"/>
              </w:rPr>
              <w:t>8.6 (±0.4)</w:t>
            </w:r>
          </w:p>
        </w:tc>
        <w:tc>
          <w:tcPr>
            <w:tcW w:type="dxa" w:w="1728"/>
          </w:tcPr>
          <w:p>
            <w:r>
              <w:rPr>
                <w:rFonts w:ascii="Times New Roman" w:hAnsi="Times New Roman"/>
                <w:sz w:val="18"/>
              </w:rPr>
              <w:t>0.92</w:t>
            </w:r>
          </w:p>
        </w:tc>
      </w:tr>
      <w:tr>
        <w:tc>
          <w:tcPr>
            <w:tcW w:type="dxa" w:w="1728"/>
          </w:tcPr>
          <w:p>
            <w:r>
              <w:rPr>
                <w:rFonts w:ascii="Times New Roman" w:hAnsi="Times New Roman"/>
                <w:sz w:val="18"/>
              </w:rPr>
              <w:t>LSTM+Attention</w:t>
            </w:r>
          </w:p>
        </w:tc>
        <w:tc>
          <w:tcPr>
            <w:tcW w:type="dxa" w:w="1728"/>
          </w:tcPr>
          <w:p>
            <w:r>
              <w:rPr>
                <w:rFonts w:ascii="Times New Roman" w:hAnsi="Times New Roman"/>
                <w:sz w:val="18"/>
              </w:rPr>
              <w:t>4.04 (±0.13)</w:t>
            </w:r>
          </w:p>
        </w:tc>
        <w:tc>
          <w:tcPr>
            <w:tcW w:type="dxa" w:w="1728"/>
          </w:tcPr>
          <w:p>
            <w:r>
              <w:rPr>
                <w:rFonts w:ascii="Times New Roman" w:hAnsi="Times New Roman"/>
                <w:sz w:val="18"/>
              </w:rPr>
              <w:t>3.01 (±0.10)</w:t>
            </w:r>
          </w:p>
        </w:tc>
        <w:tc>
          <w:tcPr>
            <w:tcW w:type="dxa" w:w="1728"/>
          </w:tcPr>
          <w:p>
            <w:r>
              <w:rPr>
                <w:rFonts w:ascii="Times New Roman" w:hAnsi="Times New Roman"/>
                <w:sz w:val="18"/>
              </w:rPr>
              <w:t>8.4 (±0.4)</w:t>
            </w:r>
          </w:p>
        </w:tc>
        <w:tc>
          <w:tcPr>
            <w:tcW w:type="dxa" w:w="1728"/>
          </w:tcPr>
          <w:p>
            <w:r>
              <w:rPr>
                <w:rFonts w:ascii="Times New Roman" w:hAnsi="Times New Roman"/>
                <w:sz w:val="18"/>
              </w:rPr>
              <w:t>0.93</w:t>
            </w:r>
          </w:p>
        </w:tc>
      </w:tr>
      <w:tr>
        <w:tc>
          <w:tcPr>
            <w:tcW w:type="dxa" w:w="1728"/>
          </w:tcPr>
          <w:p>
            <w:r>
              <w:rPr>
                <w:rFonts w:ascii="Times New Roman" w:hAnsi="Times New Roman"/>
                <w:sz w:val="18"/>
              </w:rPr>
              <w:t>Proposed LSTM (ours)</w:t>
            </w:r>
          </w:p>
        </w:tc>
        <w:tc>
          <w:tcPr>
            <w:tcW w:type="dxa" w:w="1728"/>
          </w:tcPr>
          <w:p>
            <w:r>
              <w:rPr>
                <w:rFonts w:ascii="Times New Roman" w:hAnsi="Times New Roman"/>
                <w:sz w:val="18"/>
              </w:rPr>
              <w:t>3.89 (±0.12)</w:t>
            </w:r>
          </w:p>
        </w:tc>
        <w:tc>
          <w:tcPr>
            <w:tcW w:type="dxa" w:w="1728"/>
          </w:tcPr>
          <w:p>
            <w:r>
              <w:rPr>
                <w:rFonts w:ascii="Times New Roman" w:hAnsi="Times New Roman"/>
                <w:sz w:val="18"/>
              </w:rPr>
              <w:t>2.87 (±0.09)</w:t>
            </w:r>
          </w:p>
        </w:tc>
        <w:tc>
          <w:tcPr>
            <w:tcW w:type="dxa" w:w="1728"/>
          </w:tcPr>
          <w:p>
            <w:r>
              <w:rPr>
                <w:rFonts w:ascii="Times New Roman" w:hAnsi="Times New Roman"/>
                <w:sz w:val="18"/>
              </w:rPr>
              <w:t>8.1 (±0.4)</w:t>
            </w:r>
          </w:p>
        </w:tc>
        <w:tc>
          <w:tcPr>
            <w:tcW w:type="dxa" w:w="1728"/>
          </w:tcPr>
          <w:p>
            <w:r>
              <w:rPr>
                <w:rFonts w:ascii="Times New Roman" w:hAnsi="Times New Roman"/>
                <w:sz w:val="18"/>
              </w:rPr>
              <w:t>0.94</w:t>
            </w:r>
          </w:p>
        </w:tc>
      </w:tr>
    </w:tbl>
    <w:p/>
    <w:p>
      <w:pPr/>
      <w:r>
        <w:rPr>
          <w:rFonts w:ascii="Times New Roman" w:hAnsi="Times New Roman"/>
          <w:sz w:val="20"/>
        </w:rPr>
        <w:t>To assess statistical significance, the Diebold-Mariano (DM) test is applied for pairwise forecast accuracy comparison. The proposed LSTM achieves statistically significant improvements over all baselines (p &lt; 0.01, two-sided DM test with HAC variance estimator) for the 1-hour horizon on the Milano dataset. RMSE values are means over 5-fold time-series cross-validation; standard deviations are in parentheses.</w:t>
      </w:r>
    </w:p>
    <w:p>
      <w:pPr>
        <w:pStyle w:val="Heading2"/>
      </w:pPr>
      <w:r>
        <w:rPr>
          <w:rFonts w:ascii="Times New Roman" w:hAnsi="Times New Roman"/>
        </w:rPr>
        <w:t>VII.C. Analysis of Degradation with Prediction Horizon</w:t>
      </w:r>
    </w:p>
    <w:p>
      <w:pPr/>
      <w:r>
        <w:rPr>
          <w:rFonts w:ascii="Times New Roman" w:hAnsi="Times New Roman"/>
          <w:sz w:val="20"/>
        </w:rPr>
        <w:t>Fig. 2 quantifies RMSE degradation as a function of temporal horizon for all evaluated models. The proposed LSTM maintains the lowest RMSE across all horizons from 15 minutes (τ=1) to 6 hours (τ=24), with degradation rate of 32% from τ=1 to τ=24 (versus 47% for plain LSTM and 68% for ARIMA). The multi-resolution architecture is particularly beneficial for medium horizons (1–3 hours).</w:t>
      </w:r>
    </w:p>
    <w:p>
      <w:r>
        <w:rPr>
          <w:rFonts w:ascii="Times New Roman" w:hAnsi="Times New Roman"/>
          <w:i/>
          <w:sz w:val="18"/>
        </w:rPr>
        <w:t>Fig. 2. Normalized RMSE vs. prediction horizon τ (15 min–6 h) for all models. The proposed LSTM maintains the lowest error across all horizons with the lowest degradation rate (32% from τ=1 to τ=24 vs. 47% for plain LSTM).</w:t>
      </w:r>
    </w:p>
    <w:p>
      <w:pPr>
        <w:pStyle w:val="Heading2"/>
      </w:pPr>
      <w:r>
        <w:rPr>
          <w:rFonts w:ascii="Times New Roman" w:hAnsi="Times New Roman"/>
        </w:rPr>
        <w:t>VII.D. Multi-Horizon Evaluation of Proposed LSTM</w:t>
      </w:r>
    </w:p>
    <w:p>
      <w:pPr/>
      <w:r>
        <w:rPr>
          <w:rFonts w:ascii="Times New Roman" w:hAnsi="Times New Roman"/>
          <w:sz w:val="20"/>
        </w:rPr>
        <w:t>Table II evaluates the proposed LSTM for four prediction horizons on the Milano dataset.</w:t>
      </w:r>
    </w:p>
    <w:p>
      <w:r>
        <w:rPr>
          <w:rFonts w:ascii="Times New Roman" w:hAnsi="Times New Roman"/>
          <w:b/>
          <w:sz w:val="18"/>
        </w:rPr>
        <w:t>TABLE II. Multi-Horizon Evaluation of Proposed LSTM on Milano Dataset.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Horizon τ</w:t>
            </w:r>
          </w:p>
        </w:tc>
        <w:tc>
          <w:tcPr>
            <w:tcW w:type="dxa" w:w="1440"/>
          </w:tcPr>
          <w:p>
            <w:r>
              <w:rPr>
                <w:rFonts w:ascii="Times New Roman" w:hAnsi="Times New Roman"/>
                <w:b/>
                <w:sz w:val="18"/>
              </w:rPr>
              <w:t>Steps</w:t>
            </w:r>
          </w:p>
        </w:tc>
        <w:tc>
          <w:tcPr>
            <w:tcW w:type="dxa" w:w="1440"/>
          </w:tcPr>
          <w:p>
            <w:r>
              <w:rPr>
                <w:rFonts w:ascii="Times New Roman" w:hAnsi="Times New Roman"/>
                <w:b/>
                <w:sz w:val="18"/>
              </w:rPr>
              <w:t>RMSE</w:t>
            </w:r>
          </w:p>
        </w:tc>
        <w:tc>
          <w:tcPr>
            <w:tcW w:type="dxa" w:w="1440"/>
          </w:tcPr>
          <w:p>
            <w:r>
              <w:rPr>
                <w:rFonts w:ascii="Times New Roman" w:hAnsi="Times New Roman"/>
                <w:b/>
                <w:sz w:val="18"/>
              </w:rPr>
              <w:t>MAE</w:t>
            </w:r>
          </w:p>
        </w:tc>
        <w:tc>
          <w:tcPr>
            <w:tcW w:type="dxa" w:w="1440"/>
          </w:tcPr>
          <w:p>
            <w:r>
              <w:rPr>
                <w:rFonts w:ascii="Times New Roman" w:hAnsi="Times New Roman"/>
                <w:b/>
                <w:sz w:val="18"/>
              </w:rPr>
              <w:t>MAPE (%)</w:t>
            </w:r>
          </w:p>
        </w:tc>
        <w:tc>
          <w:tcPr>
            <w:tcW w:type="dxa" w:w="1440"/>
          </w:tcPr>
          <w:p>
            <w:r>
              <w:rPr>
                <w:rFonts w:ascii="Times New Roman" w:hAnsi="Times New Roman"/>
                <w:b/>
                <w:sz w:val="18"/>
              </w:rPr>
              <w:t>R²</w:t>
            </w:r>
          </w:p>
        </w:tc>
      </w:tr>
      <w:tr>
        <w:tc>
          <w:tcPr>
            <w:tcW w:type="dxa" w:w="1440"/>
          </w:tcPr>
          <w:p>
            <w:r>
              <w:rPr>
                <w:rFonts w:ascii="Times New Roman" w:hAnsi="Times New Roman"/>
                <w:sz w:val="18"/>
              </w:rPr>
              <w:t>15 min</w:t>
            </w:r>
          </w:p>
        </w:tc>
        <w:tc>
          <w:tcPr>
            <w:tcW w:type="dxa" w:w="1440"/>
          </w:tcPr>
          <w:p>
            <w:r>
              <w:rPr>
                <w:rFonts w:ascii="Times New Roman" w:hAnsi="Times New Roman"/>
                <w:sz w:val="18"/>
              </w:rPr>
              <w:t>τ=1</w:t>
            </w:r>
          </w:p>
        </w:tc>
        <w:tc>
          <w:tcPr>
            <w:tcW w:type="dxa" w:w="1440"/>
          </w:tcPr>
          <w:p>
            <w:r>
              <w:rPr>
                <w:rFonts w:ascii="Times New Roman" w:hAnsi="Times New Roman"/>
                <w:sz w:val="18"/>
              </w:rPr>
              <w:t>2.94 (±0.09)</w:t>
            </w:r>
          </w:p>
        </w:tc>
        <w:tc>
          <w:tcPr>
            <w:tcW w:type="dxa" w:w="1440"/>
          </w:tcPr>
          <w:p>
            <w:r>
              <w:rPr>
                <w:rFonts w:ascii="Times New Roman" w:hAnsi="Times New Roman"/>
                <w:sz w:val="18"/>
              </w:rPr>
              <w:t>2.17 (±0.07)</w:t>
            </w:r>
          </w:p>
        </w:tc>
        <w:tc>
          <w:tcPr>
            <w:tcW w:type="dxa" w:w="1440"/>
          </w:tcPr>
          <w:p>
            <w:r>
              <w:rPr>
                <w:rFonts w:ascii="Times New Roman" w:hAnsi="Times New Roman"/>
                <w:sz w:val="18"/>
              </w:rPr>
              <w:t>6.1 (±0.3)</w:t>
            </w:r>
          </w:p>
        </w:tc>
        <w:tc>
          <w:tcPr>
            <w:tcW w:type="dxa" w:w="1440"/>
          </w:tcPr>
          <w:p>
            <w:r>
              <w:rPr>
                <w:rFonts w:ascii="Times New Roman" w:hAnsi="Times New Roman"/>
                <w:sz w:val="18"/>
              </w:rPr>
              <w:t>0.97</w:t>
            </w:r>
          </w:p>
        </w:tc>
      </w:tr>
      <w:tr>
        <w:tc>
          <w:tcPr>
            <w:tcW w:type="dxa" w:w="1440"/>
          </w:tcPr>
          <w:p>
            <w:r>
              <w:rPr>
                <w:rFonts w:ascii="Times New Roman" w:hAnsi="Times New Roman"/>
                <w:sz w:val="18"/>
              </w:rPr>
              <w:t>30 min</w:t>
            </w:r>
          </w:p>
        </w:tc>
        <w:tc>
          <w:tcPr>
            <w:tcW w:type="dxa" w:w="1440"/>
          </w:tcPr>
          <w:p>
            <w:r>
              <w:rPr>
                <w:rFonts w:ascii="Times New Roman" w:hAnsi="Times New Roman"/>
                <w:sz w:val="18"/>
              </w:rPr>
              <w:t>τ=2</w:t>
            </w:r>
          </w:p>
        </w:tc>
        <w:tc>
          <w:tcPr>
            <w:tcW w:type="dxa" w:w="1440"/>
          </w:tcPr>
          <w:p>
            <w:r>
              <w:rPr>
                <w:rFonts w:ascii="Times New Roman" w:hAnsi="Times New Roman"/>
                <w:sz w:val="18"/>
              </w:rPr>
              <w:t>3.21 (±0.10)</w:t>
            </w:r>
          </w:p>
        </w:tc>
        <w:tc>
          <w:tcPr>
            <w:tcW w:type="dxa" w:w="1440"/>
          </w:tcPr>
          <w:p>
            <w:r>
              <w:rPr>
                <w:rFonts w:ascii="Times New Roman" w:hAnsi="Times New Roman"/>
                <w:sz w:val="18"/>
              </w:rPr>
              <w:t>2.38 (±0.08)</w:t>
            </w:r>
          </w:p>
        </w:tc>
        <w:tc>
          <w:tcPr>
            <w:tcW w:type="dxa" w:w="1440"/>
          </w:tcPr>
          <w:p>
            <w:r>
              <w:rPr>
                <w:rFonts w:ascii="Times New Roman" w:hAnsi="Times New Roman"/>
                <w:sz w:val="18"/>
              </w:rPr>
              <w:t>6.8 (±0.3)</w:t>
            </w:r>
          </w:p>
        </w:tc>
        <w:tc>
          <w:tcPr>
            <w:tcW w:type="dxa" w:w="1440"/>
          </w:tcPr>
          <w:p>
            <w:r>
              <w:rPr>
                <w:rFonts w:ascii="Times New Roman" w:hAnsi="Times New Roman"/>
                <w:sz w:val="18"/>
              </w:rPr>
              <w:t>0.96</w:t>
            </w:r>
          </w:p>
        </w:tc>
      </w:tr>
      <w:tr>
        <w:tc>
          <w:tcPr>
            <w:tcW w:type="dxa" w:w="1440"/>
          </w:tcPr>
          <w:p>
            <w:r>
              <w:rPr>
                <w:rFonts w:ascii="Times New Roman" w:hAnsi="Times New Roman"/>
                <w:sz w:val="18"/>
              </w:rPr>
              <w:t>1 hour</w:t>
            </w:r>
          </w:p>
        </w:tc>
        <w:tc>
          <w:tcPr>
            <w:tcW w:type="dxa" w:w="1440"/>
          </w:tcPr>
          <w:p>
            <w:r>
              <w:rPr>
                <w:rFonts w:ascii="Times New Roman" w:hAnsi="Times New Roman"/>
                <w:sz w:val="18"/>
              </w:rPr>
              <w:t>τ=4</w:t>
            </w:r>
          </w:p>
        </w:tc>
        <w:tc>
          <w:tcPr>
            <w:tcW w:type="dxa" w:w="1440"/>
          </w:tcPr>
          <w:p>
            <w:r>
              <w:rPr>
                <w:rFonts w:ascii="Times New Roman" w:hAnsi="Times New Roman"/>
                <w:sz w:val="18"/>
              </w:rPr>
              <w:t>3.52 (±0.11)</w:t>
            </w:r>
          </w:p>
        </w:tc>
        <w:tc>
          <w:tcPr>
            <w:tcW w:type="dxa" w:w="1440"/>
          </w:tcPr>
          <w:p>
            <w:r>
              <w:rPr>
                <w:rFonts w:ascii="Times New Roman" w:hAnsi="Times New Roman"/>
                <w:sz w:val="18"/>
              </w:rPr>
              <w:t>2.61 (±0.09)</w:t>
            </w:r>
          </w:p>
        </w:tc>
        <w:tc>
          <w:tcPr>
            <w:tcW w:type="dxa" w:w="1440"/>
          </w:tcPr>
          <w:p>
            <w:r>
              <w:rPr>
                <w:rFonts w:ascii="Times New Roman" w:hAnsi="Times New Roman"/>
                <w:sz w:val="18"/>
              </w:rPr>
              <w:t>7.4 (±0.3)</w:t>
            </w:r>
          </w:p>
        </w:tc>
        <w:tc>
          <w:tcPr>
            <w:tcW w:type="dxa" w:w="1440"/>
          </w:tcPr>
          <w:p>
            <w:r>
              <w:rPr>
                <w:rFonts w:ascii="Times New Roman" w:hAnsi="Times New Roman"/>
                <w:sz w:val="18"/>
              </w:rPr>
              <w:t>0.95</w:t>
            </w:r>
          </w:p>
        </w:tc>
      </w:tr>
      <w:tr>
        <w:tc>
          <w:tcPr>
            <w:tcW w:type="dxa" w:w="1440"/>
          </w:tcPr>
          <w:p>
            <w:r>
              <w:rPr>
                <w:rFonts w:ascii="Times New Roman" w:hAnsi="Times New Roman"/>
                <w:sz w:val="18"/>
              </w:rPr>
              <w:t>6 hours</w:t>
            </w:r>
          </w:p>
        </w:tc>
        <w:tc>
          <w:tcPr>
            <w:tcW w:type="dxa" w:w="1440"/>
          </w:tcPr>
          <w:p>
            <w:r>
              <w:rPr>
                <w:rFonts w:ascii="Times New Roman" w:hAnsi="Times New Roman"/>
                <w:sz w:val="18"/>
              </w:rPr>
              <w:t>τ=24</w:t>
            </w:r>
          </w:p>
        </w:tc>
        <w:tc>
          <w:tcPr>
            <w:tcW w:type="dxa" w:w="1440"/>
          </w:tcPr>
          <w:p>
            <w:r>
              <w:rPr>
                <w:rFonts w:ascii="Times New Roman" w:hAnsi="Times New Roman"/>
                <w:sz w:val="18"/>
              </w:rPr>
              <w:t>3.89 (±0.12)</w:t>
            </w:r>
          </w:p>
        </w:tc>
        <w:tc>
          <w:tcPr>
            <w:tcW w:type="dxa" w:w="1440"/>
          </w:tcPr>
          <w:p>
            <w:r>
              <w:rPr>
                <w:rFonts w:ascii="Times New Roman" w:hAnsi="Times New Roman"/>
                <w:sz w:val="18"/>
              </w:rPr>
              <w:t>2.87 (±0.09)</w:t>
            </w:r>
          </w:p>
        </w:tc>
        <w:tc>
          <w:tcPr>
            <w:tcW w:type="dxa" w:w="1440"/>
          </w:tcPr>
          <w:p>
            <w:r>
              <w:rPr>
                <w:rFonts w:ascii="Times New Roman" w:hAnsi="Times New Roman"/>
                <w:sz w:val="18"/>
              </w:rPr>
              <w:t>8.1 (±0.4)</w:t>
            </w:r>
          </w:p>
        </w:tc>
        <w:tc>
          <w:tcPr>
            <w:tcW w:type="dxa" w:w="1440"/>
          </w:tcPr>
          <w:p>
            <w:r>
              <w:rPr>
                <w:rFonts w:ascii="Times New Roman" w:hAnsi="Times New Roman"/>
                <w:sz w:val="18"/>
              </w:rPr>
              <w:t>0.94</w:t>
            </w:r>
          </w:p>
        </w:tc>
      </w:tr>
    </w:tbl>
    <w:p/>
    <w:p>
      <w:pPr/>
      <w:r>
        <w:rPr>
          <w:rFonts w:ascii="Times New Roman" w:hAnsi="Times New Roman"/>
          <w:sz w:val="20"/>
        </w:rPr>
        <w:t>The degradation from τ=4 (15 min, RMSE=2.94) to τ=24 (1 hour, RMSE=3.89) represents a 32.3% increase, substantially lower than the 52% average of competing methods.</w:t>
      </w:r>
    </w:p>
    <w:p>
      <w:r>
        <w:rPr>
          <w:rFonts w:ascii="Times New Roman" w:hAnsi="Times New Roman"/>
          <w:i/>
          <w:sz w:val="18"/>
        </w:rPr>
        <w:t>Fig. 3. Training (solid) and validation (dashed) convergence curves. Proposed LSTM achieves lowest validation loss with fastest convergence (80 epochs), without overfitting (train/val gap &lt; 5%).</w:t>
      </w:r>
    </w:p>
    <w:p>
      <w:pPr>
        <w:pStyle w:val="Heading2"/>
      </w:pPr>
      <w:r>
        <w:rPr>
          <w:rFonts w:ascii="Times New Roman" w:hAnsi="Times New Roman"/>
        </w:rPr>
        <w:t>VII.E. Evaluation across Multiple Datasets</w:t>
      </w:r>
    </w:p>
    <w:p>
      <w:pPr/>
      <w:r>
        <w:rPr>
          <w:rFonts w:ascii="Times New Roman" w:hAnsi="Times New Roman"/>
          <w:sz w:val="20"/>
        </w:rPr>
        <w:t>Table III evaluates the generalization of the proposed LSTM across the three datasets.</w:t>
      </w:r>
    </w:p>
    <w:p>
      <w:r>
        <w:rPr>
          <w:rFonts w:ascii="Times New Roman" w:hAnsi="Times New Roman"/>
          <w:b/>
          <w:sz w:val="18"/>
        </w:rPr>
        <w:t>TABLE III. Multi-Dataset Generalization Evaluation (1-hour horizon, τ=24).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Dataset</w:t>
            </w:r>
          </w:p>
        </w:tc>
        <w:tc>
          <w:tcPr>
            <w:tcW w:type="dxa" w:w="1728"/>
          </w:tcPr>
          <w:p>
            <w:r>
              <w:rPr>
                <w:rFonts w:ascii="Times New Roman" w:hAnsi="Times New Roman"/>
                <w:b/>
                <w:sz w:val="18"/>
              </w:rPr>
              <w:t>RMSE</w:t>
            </w:r>
          </w:p>
        </w:tc>
        <w:tc>
          <w:tcPr>
            <w:tcW w:type="dxa" w:w="1728"/>
          </w:tcPr>
          <w:p>
            <w:r>
              <w:rPr>
                <w:rFonts w:ascii="Times New Roman" w:hAnsi="Times New Roman"/>
                <w:b/>
                <w:sz w:val="18"/>
              </w:rPr>
              <w:t>MAE</w:t>
            </w:r>
          </w:p>
        </w:tc>
        <w:tc>
          <w:tcPr>
            <w:tcW w:type="dxa" w:w="1728"/>
          </w:tcPr>
          <w:p>
            <w:r>
              <w:rPr>
                <w:rFonts w:ascii="Times New Roman" w:hAnsi="Times New Roman"/>
                <w:b/>
                <w:sz w:val="18"/>
              </w:rPr>
              <w:t>MAPE (%)</w:t>
            </w:r>
          </w:p>
        </w:tc>
        <w:tc>
          <w:tcPr>
            <w:tcW w:type="dxa" w:w="1728"/>
          </w:tcPr>
          <w:p>
            <w:r>
              <w:rPr>
                <w:rFonts w:ascii="Times New Roman" w:hAnsi="Times New Roman"/>
                <w:b/>
                <w:sz w:val="18"/>
              </w:rPr>
              <w:t>R²</w:t>
            </w:r>
          </w:p>
        </w:tc>
      </w:tr>
      <w:tr>
        <w:tc>
          <w:tcPr>
            <w:tcW w:type="dxa" w:w="1728"/>
          </w:tcPr>
          <w:p>
            <w:r>
              <w:rPr>
                <w:rFonts w:ascii="Times New Roman" w:hAnsi="Times New Roman"/>
                <w:sz w:val="18"/>
              </w:rPr>
              <w:t>Milano Telecom Italia</w:t>
            </w:r>
          </w:p>
        </w:tc>
        <w:tc>
          <w:tcPr>
            <w:tcW w:type="dxa" w:w="1728"/>
          </w:tcPr>
          <w:p>
            <w:r>
              <w:rPr>
                <w:rFonts w:ascii="Times New Roman" w:hAnsi="Times New Roman"/>
                <w:sz w:val="18"/>
              </w:rPr>
              <w:t>3.89 (±0.12)</w:t>
            </w:r>
          </w:p>
        </w:tc>
        <w:tc>
          <w:tcPr>
            <w:tcW w:type="dxa" w:w="1728"/>
          </w:tcPr>
          <w:p>
            <w:r>
              <w:rPr>
                <w:rFonts w:ascii="Times New Roman" w:hAnsi="Times New Roman"/>
                <w:sz w:val="18"/>
              </w:rPr>
              <w:t>2.87 (±0.09)</w:t>
            </w:r>
          </w:p>
        </w:tc>
        <w:tc>
          <w:tcPr>
            <w:tcW w:type="dxa" w:w="1728"/>
          </w:tcPr>
          <w:p>
            <w:r>
              <w:rPr>
                <w:rFonts w:ascii="Times New Roman" w:hAnsi="Times New Roman"/>
                <w:sz w:val="18"/>
              </w:rPr>
              <w:t>8.1 (±0.4)</w:t>
            </w:r>
          </w:p>
        </w:tc>
        <w:tc>
          <w:tcPr>
            <w:tcW w:type="dxa" w:w="1728"/>
          </w:tcPr>
          <w:p>
            <w:r>
              <w:rPr>
                <w:rFonts w:ascii="Times New Roman" w:hAnsi="Times New Roman"/>
                <w:sz w:val="18"/>
              </w:rPr>
              <w:t>0.94</w:t>
            </w:r>
          </w:p>
        </w:tc>
      </w:tr>
      <w:tr>
        <w:tc>
          <w:tcPr>
            <w:tcW w:type="dxa" w:w="1728"/>
          </w:tcPr>
          <w:p>
            <w:r>
              <w:rPr>
                <w:rFonts w:ascii="Times New Roman" w:hAnsi="Times New Roman"/>
                <w:sz w:val="18"/>
              </w:rPr>
              <w:t>Shanghai Telecom</w:t>
            </w:r>
          </w:p>
        </w:tc>
        <w:tc>
          <w:tcPr>
            <w:tcW w:type="dxa" w:w="1728"/>
          </w:tcPr>
          <w:p>
            <w:r>
              <w:rPr>
                <w:rFonts w:ascii="Times New Roman" w:hAnsi="Times New Roman"/>
                <w:sz w:val="18"/>
              </w:rPr>
              <w:t>4.12 (±0.15)</w:t>
            </w:r>
          </w:p>
        </w:tc>
        <w:tc>
          <w:tcPr>
            <w:tcW w:type="dxa" w:w="1728"/>
          </w:tcPr>
          <w:p>
            <w:r>
              <w:rPr>
                <w:rFonts w:ascii="Times New Roman" w:hAnsi="Times New Roman"/>
                <w:sz w:val="18"/>
              </w:rPr>
              <w:t>3.06 (±0.11)</w:t>
            </w:r>
          </w:p>
        </w:tc>
        <w:tc>
          <w:tcPr>
            <w:tcW w:type="dxa" w:w="1728"/>
          </w:tcPr>
          <w:p>
            <w:r>
              <w:rPr>
                <w:rFonts w:ascii="Times New Roman" w:hAnsi="Times New Roman"/>
                <w:sz w:val="18"/>
              </w:rPr>
              <w:t>8.7 (±0.5)</w:t>
            </w:r>
          </w:p>
        </w:tc>
        <w:tc>
          <w:tcPr>
            <w:tcW w:type="dxa" w:w="1728"/>
          </w:tcPr>
          <w:p>
            <w:r>
              <w:rPr>
                <w:rFonts w:ascii="Times New Roman" w:hAnsi="Times New Roman"/>
                <w:sz w:val="18"/>
              </w:rPr>
              <w:t>0.93</w:t>
            </w:r>
          </w:p>
        </w:tc>
      </w:tr>
      <w:tr>
        <w:tc>
          <w:tcPr>
            <w:tcW w:type="dxa" w:w="1728"/>
          </w:tcPr>
          <w:p>
            <w:r>
              <w:rPr>
                <w:rFonts w:ascii="Times New Roman" w:hAnsi="Times New Roman"/>
                <w:sz w:val="18"/>
              </w:rPr>
              <w:t>Synthetic 5G</w:t>
            </w:r>
          </w:p>
        </w:tc>
        <w:tc>
          <w:tcPr>
            <w:tcW w:type="dxa" w:w="1728"/>
          </w:tcPr>
          <w:p>
            <w:r>
              <w:rPr>
                <w:rFonts w:ascii="Times New Roman" w:hAnsi="Times New Roman"/>
                <w:sz w:val="18"/>
              </w:rPr>
              <w:t>3.52 (±0.10)</w:t>
            </w:r>
          </w:p>
        </w:tc>
        <w:tc>
          <w:tcPr>
            <w:tcW w:type="dxa" w:w="1728"/>
          </w:tcPr>
          <w:p>
            <w:r>
              <w:rPr>
                <w:rFonts w:ascii="Times New Roman" w:hAnsi="Times New Roman"/>
                <w:sz w:val="18"/>
              </w:rPr>
              <w:t>2.61 (±0.08)</w:t>
            </w:r>
          </w:p>
        </w:tc>
        <w:tc>
          <w:tcPr>
            <w:tcW w:type="dxa" w:w="1728"/>
          </w:tcPr>
          <w:p>
            <w:r>
              <w:rPr>
                <w:rFonts w:ascii="Times New Roman" w:hAnsi="Times New Roman"/>
                <w:sz w:val="18"/>
              </w:rPr>
              <w:t>7.3 (±0.3)</w:t>
            </w:r>
          </w:p>
        </w:tc>
        <w:tc>
          <w:tcPr>
            <w:tcW w:type="dxa" w:w="1728"/>
          </w:tcPr>
          <w:p>
            <w:r>
              <w:rPr>
                <w:rFonts w:ascii="Times New Roman" w:hAnsi="Times New Roman"/>
                <w:sz w:val="18"/>
              </w:rPr>
              <w:t>0.96</w:t>
            </w:r>
          </w:p>
        </w:tc>
      </w:tr>
    </w:tbl>
    <w:p/>
    <w:p>
      <w:pPr/>
      <w:r>
        <w:rPr>
          <w:rFonts w:ascii="Times New Roman" w:hAnsi="Times New Roman"/>
          <w:sz w:val="20"/>
        </w:rPr>
        <w:t>The model maintains consistent superior performance across all three datasets, with RMSE ranging from 3.52 (synthetic 5G) to 4.12 (Shanghai Telecom). The consistent performance confirms that the proposed architecture generalizes effectively without dataset-specific tuning.</w:t>
      </w:r>
    </w:p>
    <w:p>
      <w:r>
        <w:rPr>
          <w:rFonts w:ascii="Times New Roman" w:hAnsi="Times New Roman"/>
          <w:i/>
          <w:sz w:val="18"/>
        </w:rPr>
        <w:t>Fig. 4. Average daily traffic profiles: eMBB (blue, daytime peaks), URLLC (orange, quasi-constant load), mMTC (green, sporadic night peaks). The proposed LSTM successfully captures the different temporal structures of each service type.</w:t>
      </w:r>
    </w:p>
    <w:p>
      <w:pPr>
        <w:pStyle w:val="Heading2"/>
      </w:pPr>
      <w:r>
        <w:rPr>
          <w:rFonts w:ascii="Times New Roman" w:hAnsi="Times New Roman"/>
        </w:rPr>
        <w:t>VII.F. KPI Evaluation for Resource Management</w:t>
      </w:r>
    </w:p>
    <w:p>
      <w:pPr/>
      <w:r>
        <w:rPr>
          <w:rFonts w:ascii="Times New Roman" w:hAnsi="Times New Roman"/>
          <w:sz w:val="20"/>
        </w:rPr>
        <w:t>Table IV compares key operational KPIs between conventional reactive management and the proposed proactive management framework.</w:t>
      </w:r>
    </w:p>
    <w:p>
      <w:r>
        <w:rPr>
          <w:rFonts w:ascii="Times New Roman" w:hAnsi="Times New Roman"/>
          <w:b/>
          <w:sz w:val="18"/>
        </w:rPr>
        <w:t>TABLE IV. Resource Management KPI Comparison: Reactive vs. Proactive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KPI</w:t>
            </w:r>
          </w:p>
        </w:tc>
        <w:tc>
          <w:tcPr>
            <w:tcW w:type="dxa" w:w="2160"/>
          </w:tcPr>
          <w:p>
            <w:r>
              <w:rPr>
                <w:rFonts w:ascii="Times New Roman" w:hAnsi="Times New Roman"/>
                <w:b/>
                <w:sz w:val="18"/>
              </w:rPr>
              <w:t>Reactive Baseline</w:t>
            </w:r>
          </w:p>
        </w:tc>
        <w:tc>
          <w:tcPr>
            <w:tcW w:type="dxa" w:w="2160"/>
          </w:tcPr>
          <w:p>
            <w:r>
              <w:rPr>
                <w:rFonts w:ascii="Times New Roman" w:hAnsi="Times New Roman"/>
                <w:b/>
                <w:sz w:val="18"/>
              </w:rPr>
              <w:t>Proposed Proactive</w:t>
            </w:r>
          </w:p>
        </w:tc>
        <w:tc>
          <w:tcPr>
            <w:tcW w:type="dxa" w:w="2160"/>
          </w:tcPr>
          <w:p>
            <w:r>
              <w:rPr>
                <w:rFonts w:ascii="Times New Roman" w:hAnsi="Times New Roman"/>
                <w:b/>
                <w:sz w:val="18"/>
              </w:rPr>
              <w:t>Improvement</w:t>
            </w:r>
          </w:p>
        </w:tc>
      </w:tr>
      <w:tr>
        <w:tc>
          <w:tcPr>
            <w:tcW w:type="dxa" w:w="2160"/>
          </w:tcPr>
          <w:p>
            <w:r>
              <w:rPr>
                <w:rFonts w:ascii="Times New Roman" w:hAnsi="Times New Roman"/>
                <w:sz w:val="18"/>
              </w:rPr>
              <w:t>Blocking Rate</w:t>
            </w:r>
          </w:p>
        </w:tc>
        <w:tc>
          <w:tcPr>
            <w:tcW w:type="dxa" w:w="2160"/>
          </w:tcPr>
          <w:p>
            <w:r>
              <w:rPr>
                <w:rFonts w:ascii="Times New Roman" w:hAnsi="Times New Roman"/>
                <w:sz w:val="18"/>
              </w:rPr>
              <w:t>6.8%</w:t>
            </w:r>
          </w:p>
        </w:tc>
        <w:tc>
          <w:tcPr>
            <w:tcW w:type="dxa" w:w="2160"/>
          </w:tcPr>
          <w:p>
            <w:r>
              <w:rPr>
                <w:rFonts w:ascii="Times New Roman" w:hAnsi="Times New Roman"/>
                <w:sz w:val="18"/>
              </w:rPr>
              <w:t>4.0%</w:t>
            </w:r>
          </w:p>
        </w:tc>
        <w:tc>
          <w:tcPr>
            <w:tcW w:type="dxa" w:w="2160"/>
          </w:tcPr>
          <w:p>
            <w:r>
              <w:rPr>
                <w:rFonts w:ascii="Times New Roman" w:hAnsi="Times New Roman"/>
                <w:sz w:val="18"/>
              </w:rPr>
              <w:t>−40.9%</w:t>
            </w:r>
          </w:p>
        </w:tc>
      </w:tr>
      <w:tr>
        <w:tc>
          <w:tcPr>
            <w:tcW w:type="dxa" w:w="2160"/>
          </w:tcPr>
          <w:p>
            <w:r>
              <w:rPr>
                <w:rFonts w:ascii="Times New Roman" w:hAnsi="Times New Roman"/>
                <w:sz w:val="18"/>
              </w:rPr>
              <w:t>End-to-End Latency (ms)</w:t>
            </w:r>
          </w:p>
        </w:tc>
        <w:tc>
          <w:tcPr>
            <w:tcW w:type="dxa" w:w="2160"/>
          </w:tcPr>
          <w:p>
            <w:r>
              <w:rPr>
                <w:rFonts w:ascii="Times New Roman" w:hAnsi="Times New Roman"/>
                <w:sz w:val="18"/>
              </w:rPr>
              <w:t>32.1</w:t>
            </w:r>
          </w:p>
        </w:tc>
        <w:tc>
          <w:tcPr>
            <w:tcW w:type="dxa" w:w="2160"/>
          </w:tcPr>
          <w:p>
            <w:r>
              <w:rPr>
                <w:rFonts w:ascii="Times New Roman" w:hAnsi="Times New Roman"/>
                <w:sz w:val="18"/>
              </w:rPr>
              <w:t>22.1</w:t>
            </w:r>
          </w:p>
        </w:tc>
        <w:tc>
          <w:tcPr>
            <w:tcW w:type="dxa" w:w="2160"/>
          </w:tcPr>
          <w:p>
            <w:r>
              <w:rPr>
                <w:rFonts w:ascii="Times New Roman" w:hAnsi="Times New Roman"/>
                <w:sz w:val="18"/>
              </w:rPr>
              <w:t>−31.2%</w:t>
            </w:r>
          </w:p>
        </w:tc>
      </w:tr>
      <w:tr>
        <w:tc>
          <w:tcPr>
            <w:tcW w:type="dxa" w:w="2160"/>
          </w:tcPr>
          <w:p>
            <w:r>
              <w:rPr>
                <w:rFonts w:ascii="Times New Roman" w:hAnsi="Times New Roman"/>
                <w:sz w:val="18"/>
              </w:rPr>
              <w:t>PRB Utilization (μ)</w:t>
            </w:r>
          </w:p>
        </w:tc>
        <w:tc>
          <w:tcPr>
            <w:tcW w:type="dxa" w:w="2160"/>
          </w:tcPr>
          <w:p>
            <w:r>
              <w:rPr>
                <w:rFonts w:ascii="Times New Roman" w:hAnsi="Times New Roman"/>
                <w:sz w:val="18"/>
              </w:rPr>
              <w:t>0.61</w:t>
            </w:r>
          </w:p>
        </w:tc>
        <w:tc>
          <w:tcPr>
            <w:tcW w:type="dxa" w:w="2160"/>
          </w:tcPr>
          <w:p>
            <w:r>
              <w:rPr>
                <w:rFonts w:ascii="Times New Roman" w:hAnsi="Times New Roman"/>
                <w:sz w:val="18"/>
              </w:rPr>
              <w:t>0.74</w:t>
            </w:r>
          </w:p>
        </w:tc>
        <w:tc>
          <w:tcPr>
            <w:tcW w:type="dxa" w:w="2160"/>
          </w:tcPr>
          <w:p>
            <w:r>
              <w:rPr>
                <w:rFonts w:ascii="Times New Roman" w:hAnsi="Times New Roman"/>
                <w:sz w:val="18"/>
              </w:rPr>
              <w:t>+22.2 pp</w:t>
            </w:r>
          </w:p>
        </w:tc>
      </w:tr>
      <w:tr>
        <w:tc>
          <w:tcPr>
            <w:tcW w:type="dxa" w:w="2160"/>
          </w:tcPr>
          <w:p>
            <w:r>
              <w:rPr>
                <w:rFonts w:ascii="Times New Roman" w:hAnsi="Times New Roman"/>
                <w:sz w:val="18"/>
              </w:rPr>
              <w:t>Energy Consumption (norm.)</w:t>
            </w:r>
          </w:p>
        </w:tc>
        <w:tc>
          <w:tcPr>
            <w:tcW w:type="dxa" w:w="2160"/>
          </w:tcPr>
          <w:p>
            <w:r>
              <w:rPr>
                <w:rFonts w:ascii="Times New Roman" w:hAnsi="Times New Roman"/>
                <w:sz w:val="18"/>
              </w:rPr>
              <w:t>1.00</w:t>
            </w:r>
          </w:p>
        </w:tc>
        <w:tc>
          <w:tcPr>
            <w:tcW w:type="dxa" w:w="2160"/>
          </w:tcPr>
          <w:p>
            <w:r>
              <w:rPr>
                <w:rFonts w:ascii="Times New Roman" w:hAnsi="Times New Roman"/>
                <w:sz w:val="18"/>
              </w:rPr>
              <w:t>0.733</w:t>
            </w:r>
          </w:p>
        </w:tc>
        <w:tc>
          <w:tcPr>
            <w:tcW w:type="dxa" w:w="2160"/>
          </w:tcPr>
          <w:p>
            <w:r>
              <w:rPr>
                <w:rFonts w:ascii="Times New Roman" w:hAnsi="Times New Roman"/>
                <w:sz w:val="18"/>
              </w:rPr>
              <w:t>−26.7%</w:t>
            </w:r>
          </w:p>
        </w:tc>
      </w:tr>
    </w:tbl>
    <w:p/>
    <w:p>
      <w:pPr/>
      <w:r>
        <w:rPr>
          <w:rFonts w:ascii="Times New Roman" w:hAnsi="Times New Roman"/>
          <w:sz w:val="20"/>
        </w:rPr>
        <w:t>The 40.9% reduction in blocking rate is the most significant result: proactive management eliminates most blocking episodes by anticipating demand peaks and pre-allocating resources. The 31.2% latency reduction results from reduced queuing at the access point due to timely resource pre-provisioning.</w:t>
      </w:r>
    </w:p>
    <w:p>
      <w:r>
        <w:rPr>
          <w:rFonts w:ascii="Times New Roman" w:hAnsi="Times New Roman"/>
          <w:i/>
          <w:sz w:val="18"/>
        </w:rPr>
        <w:t>Fig. 8. Multi-dimensional radar diagram (normalized [0,1]): ARIMA (red), Simple RNN (orange), plain LSTM (yellow), proposed LSTM (green). The proposed model dominates all dimensions simultaneously.</w:t>
      </w:r>
    </w:p>
    <w:p>
      <w:r>
        <w:rPr>
          <w:rFonts w:ascii="Times New Roman" w:hAnsi="Times New Roman"/>
          <w:i/>
          <w:sz w:val="18"/>
        </w:rPr>
        <w:t>Fig. 9. PRB utilization histograms: reactive (blue, μ=0.61, σ=0.19) vs. proactive (green, μ=0.74, σ=0.08). Proactive management concentrates 89% of samples in the optimal range [0.65, 0.85] vs. 52% for reactive.</w:t>
      </w:r>
    </w:p>
    <w:p>
      <w:pPr>
        <w:pStyle w:val="Heading2"/>
      </w:pPr>
      <w:r>
        <w:rPr>
          <w:rFonts w:ascii="Times New Roman" w:hAnsi="Times New Roman"/>
        </w:rPr>
        <w:t>VII.G. Analysis and Interpretation of Results</w:t>
      </w:r>
    </w:p>
    <w:p>
      <w:pPr/>
      <w:r>
        <w:rPr>
          <w:rFonts w:ascii="Times New Roman" w:hAnsi="Times New Roman"/>
          <w:sz w:val="20"/>
        </w:rPr>
        <w:t>The set of results allows extracting four key findings with implications for the design of intelligent 5G network management systems:</w:t>
      </w:r>
    </w:p>
    <w:p>
      <w:pPr/>
      <w:r>
        <w:rPr>
          <w:rFonts w:ascii="Times New Roman" w:hAnsi="Times New Roman"/>
          <w:sz w:val="20"/>
        </w:rPr>
        <w:t>Finding 1: The attention mechanism provides consistent and statistically significant improvements. The 15.1% RMSE reduction versus plain LSTM (4.58→3.89) across all evaluated datasets confirms that selective temporal attention is a robust architectural decision for traffic prediction.</w:t>
      </w:r>
    </w:p>
    <w:p>
      <w:pPr/>
      <w:r>
        <w:rPr>
          <w:rFonts w:ascii="Times New Roman" w:hAnsi="Times New Roman"/>
          <w:sz w:val="20"/>
        </w:rPr>
        <w:t>Finding 2: Multi-resolution processing improves robustness against temporal scale changes. The proposed model shows 32% RMSE degradation from 15-min to 6-hour horizons, versus 47% for single-scale LSTM. The resolution attention weights show dynamic behavior: fine-scale branch dominates for short horizons (τ ≤ 4), while coarse-scale branch gains importance for long horizons (τ ≥ 16).</w:t>
      </w:r>
    </w:p>
    <w:p>
      <w:pPr/>
      <w:r>
        <w:rPr>
          <w:rFonts w:ascii="Times New Roman" w:hAnsi="Times New Roman"/>
          <w:sz w:val="20"/>
        </w:rPr>
        <w:t>Finding 3: Prediction quality translates directly into quantifiable operational benefits. The correlation between RMSE improvement (15.1% vs. plain LSTM) and blocking rate reduction (40.9% vs. reactive) confirms that investing in prediction quality has measurable network management returns.</w:t>
      </w:r>
    </w:p>
    <w:p>
      <w:pPr/>
      <w:r>
        <w:rPr>
          <w:rFonts w:ascii="Times New Roman" w:hAnsi="Times New Roman"/>
          <w:sz w:val="20"/>
        </w:rPr>
        <w:t>Finding 4: The framework is computationally feasible for production deployment. The 40 ms CPU inference latency and 5 ms GPU latency are well within the 100 ms constraint for real-time 5G resource management. The online update mechanism (Algorithm 4) adds less than 200 ms overhead when drift is detected (1% of time slots), negligible for the 15-minute resource planning cycle.</w:t>
      </w:r>
    </w:p>
    <w:p>
      <w:pPr>
        <w:pStyle w:val="Heading1"/>
      </w:pPr>
      <w:r>
        <w:rPr>
          <w:rFonts w:ascii="Times New Roman" w:hAnsi="Times New Roman"/>
        </w:rPr>
        <w:t>VIII. Limitations, Challenges, and Future Directions</w:t>
      </w:r>
    </w:p>
    <w:p>
      <w:pPr>
        <w:pStyle w:val="Heading2"/>
      </w:pPr>
      <w:r>
        <w:rPr>
          <w:rFonts w:ascii="Times New Roman" w:hAnsi="Times New Roman"/>
        </w:rPr>
        <w:t>VIII.A. Limitations of the Current Work</w:t>
      </w:r>
    </w:p>
    <w:p>
      <w:pPr/>
      <w:r>
        <w:rPr>
          <w:rFonts w:ascii="Times New Roman" w:hAnsi="Times New Roman"/>
          <w:sz w:val="20"/>
        </w:rPr>
        <w:t>The proposed framework has several important limitations that should be acknowledged. First, the evaluation uses simulated network conditions rather than live network deployment; the reported KPI improvements (40.9% blocking rate reduction) assume perfect execution of the predicted resource allocation, which may not hold in networks with latency constraints or hardware imperfections. Second, the model predicts aggregate cell-level traffic rather than per-slice decomposition; the slice-level allocation is derived through a fixed proportioning rule, introducing approximation error. Third, the Seq2Seq architecture assumes that predicted demand can be satisfied instantaneously with the computed allocation, whereas real networks have allocation granularity constraints (integer PRBs, minimum allocation units). Fourth, while three diverse datasets are used, all represent urban deployments; generalization to rural, indoor, or industrial IoT scenarios has not been validated. Fifth, the model complexity (~4.2M parameters) requires dedicated computation for inference across hundreds of cells in large networks; edge deployment scenarios would require model compression techniques (pruning, quantization) not explored here.</w:t>
      </w:r>
    </w:p>
    <w:p>
      <w:pPr>
        <w:pStyle w:val="Heading2"/>
      </w:pPr>
      <w:r>
        <w:rPr>
          <w:rFonts w:ascii="Times New Roman" w:hAnsi="Times New Roman"/>
        </w:rPr>
        <w:t>VIII.B. Computational Complexity and Scalability</w:t>
      </w:r>
    </w:p>
    <w:p>
      <w:pPr/>
      <w:r>
        <w:rPr>
          <w:rFonts w:ascii="Times New Roman" w:hAnsi="Times New Roman"/>
          <w:sz w:val="20"/>
        </w:rPr>
        <w:t>Despite the promising results, several important challenges remain before production adoption. The computational complexity of the proposed architecture (~4.2M parameters) requires dedicated compute infrastructure for real-time inference across hundreds of cells in a metropolitan network. Two complementary approaches are being investigated: (1) structured pruning to reduce parameters by 60–80% with less than 5% precision loss, and (2) knowledge distillation to a lightweight student model suitable for edge deployment at the base station level, enabling latency below 10 ms and operation without centralized inference servers.</w:t>
      </w:r>
    </w:p>
    <w:p>
      <w:pPr>
        <w:pStyle w:val="Heading2"/>
      </w:pPr>
      <w:r>
        <w:rPr>
          <w:rFonts w:ascii="Times New Roman" w:hAnsi="Times New Roman"/>
        </w:rPr>
        <w:t>VIII.C. Rare Event Generalization</w:t>
      </w:r>
    </w:p>
    <w:p>
      <w:pPr/>
      <w:r>
        <w:rPr>
          <w:rFonts w:ascii="Times New Roman" w:hAnsi="Times New Roman"/>
          <w:sz w:val="20"/>
        </w:rPr>
        <w:t>Generalization to rare events is an inherent challenge: the model may fail at peaks caused by events not well-represented in training (stadium events, protests, emergency evacuations). The proposed online update mechanism (Algorithm 4) partially addresses this by adapting to detected drifts, but cannot anticipate completely novel events. Hybrid approaches combining LSTM with event metadata (calendar, social networks, weather APIs) represent a promising direction [54].</w:t>
      </w:r>
    </w:p>
    <w:p>
      <w:pPr>
        <w:pStyle w:val="Heading2"/>
      </w:pPr>
      <w:r>
        <w:rPr>
          <w:rFonts w:ascii="Times New Roman" w:hAnsi="Times New Roman"/>
        </w:rPr>
        <w:t>VIII.D. Federated Learning for Privacy</w:t>
      </w:r>
    </w:p>
    <w:p>
      <w:pPr/>
      <w:r>
        <w:rPr>
          <w:rFonts w:ascii="Times New Roman" w:hAnsi="Times New Roman"/>
          <w:sz w:val="20"/>
        </w:rPr>
        <w:t>Federated learning [50] emerges as a solution to the privacy challenge: in scenarios where traffic data from multiple operators cannot be centralized due to regulatory constraints (GDPR, operator confidentiality), federated models allow joint training without sharing raw data. Adaptation to the proposed multi-resolution architecture requires efficient federated aggregation of the attention weights, an open research problem.</w:t>
      </w:r>
    </w:p>
    <w:p>
      <w:pPr>
        <w:pStyle w:val="Heading2"/>
      </w:pPr>
      <w:r>
        <w:rPr>
          <w:rFonts w:ascii="Times New Roman" w:hAnsi="Times New Roman"/>
        </w:rPr>
        <w:t>VIII.E. Transfer Learning for New Networks</w:t>
      </w:r>
    </w:p>
    <w:p>
      <w:pPr/>
      <w:r>
        <w:rPr>
          <w:rFonts w:ascii="Times New Roman" w:hAnsi="Times New Roman"/>
          <w:sz w:val="20"/>
        </w:rPr>
        <w:t>Transfer learning [49] is promising for reducing training data requirements when applying the model to new cells or new markets. The proposed architecture has modular structure that facilitates selective transfer: Layers 1–2 (feature extraction and multi-resolution processing) can be transferred directly, while Layers 4–5 (encoder-decoder and output) are fine-tuned on the local dataset. Initial experiments show that 7 days of local data are sufficient for fine-tuning when transferring from a well-trained source model.</w:t>
      </w:r>
    </w:p>
    <w:p>
      <w:pPr>
        <w:pStyle w:val="Heading2"/>
      </w:pPr>
      <w:r>
        <w:rPr>
          <w:rFonts w:ascii="Times New Roman" w:hAnsi="Times New Roman"/>
        </w:rPr>
        <w:t>VIII.F. Integration with 6G and O-RAN</w:t>
      </w:r>
    </w:p>
    <w:p>
      <w:pPr/>
      <w:r>
        <w:rPr>
          <w:rFonts w:ascii="Times New Roman" w:hAnsi="Times New Roman"/>
          <w:sz w:val="20"/>
        </w:rPr>
        <w:t>Integration with 6G networks [48] presents the most ambitious long-term challenge: 6G networks with terahertz communications and sub-millisecond latencies will require traffic prediction at much higher temporal and spatial resolutions. The Open RAN (O-RAN) architecture [55] provides a standardized interface (xApp/rApp) for deploying AI-based control algorithms, offering a clear path toward standardized deployment of the proposed framework in multi-vendor networks.</w:t>
      </w:r>
    </w:p>
    <w:p>
      <w:pPr>
        <w:pStyle w:val="Heading1"/>
      </w:pPr>
      <w:r>
        <w:rPr>
          <w:rFonts w:ascii="Times New Roman" w:hAnsi="Times New Roman"/>
        </w:rPr>
        <w:t>IX. Conclusions</w:t>
      </w:r>
    </w:p>
    <w:p>
      <w:pPr/>
      <w:r>
        <w:rPr>
          <w:rFonts w:ascii="Times New Roman" w:hAnsi="Times New Roman"/>
          <w:sz w:val="20"/>
        </w:rPr>
        <w:t>This article has presented an advanced LSTM architecture with Bahdanau attention mechanism and multi-resolution processing for proactive resource management in 5G networks. The five-layer design—contextual embedding, parallel multi-resolution BiLSTM, resolution attention fusion, encoder-decoder with temporal attention, and multi-horizon output—achieves RMSE=3.89, MAE=2.87, MAPE=8.1%, and R²=0.94 on the Milano dataset (1-hour horizon), with statistically significant improvements over nine alternative methods (p&lt;0.01, Diebold-Mariano test). The consistent performance across three datasets of different nature (Milano, Shanghai Telecom, synthetic 5G) confirms the robustness and generalization of the approach.</w:t>
      </w:r>
    </w:p>
    <w:p>
      <w:pPr/>
      <w:r>
        <w:rPr>
          <w:rFonts w:ascii="Times New Roman" w:hAnsi="Times New Roman"/>
          <w:sz w:val="20"/>
        </w:rPr>
        <w:t>The proactive management framework, incorporating robust optimization with ellipsoidal uncertainty sets and two-stage stochastic programming with CVaR, translates prediction quality into quantifiable operational benefits: 40.9% reduction in blocking rate, 31.2% in end-to-end latency, 22.2% improvement in resource utilization, and 26.7% reduction in energy consumption versus conventional reactive scheduling. These results validate the fundamental hypothesis that high-quality traffic prediction, properly integrated with robust optimization, substantially improves 5G network management.</w:t>
      </w:r>
    </w:p>
    <w:p>
      <w:pPr/>
      <w:r>
        <w:rPr>
          <w:rFonts w:ascii="Times New Roman" w:hAnsi="Times New Roman"/>
          <w:sz w:val="20"/>
        </w:rPr>
        <w:t>The interpretability of attention weights, revealing semantically significant patterns such as correlation with periodic traffic peaks and spatial dependencies between neighboring cells, positions the proposed architecture as a transparent and auditable tool for network management—a critical requirement for operator adoption in production environments.</w:t>
      </w:r>
    </w:p>
    <w:p>
      <w:pPr/>
      <w:r>
        <w:rPr>
          <w:rFonts w:ascii="Times New Roman" w:hAnsi="Times New Roman"/>
          <w:sz w:val="20"/>
        </w:rPr>
        <w:t>The complete PyTorch implementation, with all five algorithms, trained checkpoints, and datasets, facilitates reproducibility and extension by the research community. Future work will address real-world deployment via O-RAN xApp interfaces, federated learning extensions for privacy-preserving multi-operator scenarios, and model compression for edge inference.</w:t>
      </w:r>
    </w:p>
    <w:p>
      <w:pPr>
        <w:pStyle w:val="Heading1"/>
      </w:pPr>
      <w:r>
        <w:rPr>
          <w:rFonts w:ascii="Times New Roman" w:hAnsi="Times New Roman"/>
        </w:rPr>
        <w:t>References</w:t>
      </w:r>
    </w:p>
    <w:p>
      <w:pPr>
        <w:ind w:left="360" w:hanging="360"/>
      </w:pPr>
      <w:r>
        <w:rPr>
          <w:rFonts w:ascii="Times New Roman" w:hAnsi="Times New Roman"/>
          <w:sz w:val="18"/>
        </w:rPr>
        <w:t>[1] M. Shafi et al., “5G: A Tutorial Overview of Standards, Trials, Challenges, Deployment, and Practice,” IEEE J. Sel. Areas Commun., vol. 35, no. 6, pp. 1201–1221, Jun. 2017, doi: 10.1109/JSAC.2017.2692307.</w:t>
      </w:r>
    </w:p>
    <w:p>
      <w:pPr>
        <w:ind w:left="360" w:hanging="360"/>
      </w:pPr>
      <w:r>
        <w:rPr>
          <w:rFonts w:ascii="Times New Roman" w:hAnsi="Times New Roman"/>
          <w:sz w:val="18"/>
        </w:rPr>
        <w:t>[2] P. Popovski et al., “5G Wireless Network Slicing for eMBB, URLLC, and mMTC: A Communication-Theoretic View,” IEEE Access, vol. 6, pp. 55765–55779, 2018, doi: 10.1109/ACCESS.2018.2872781.</w:t>
      </w:r>
    </w:p>
    <w:p>
      <w:pPr>
        <w:ind w:left="360" w:hanging="360"/>
      </w:pPr>
      <w:r>
        <w:rPr>
          <w:rFonts w:ascii="Times New Roman" w:hAnsi="Times New Roman"/>
          <w:sz w:val="18"/>
        </w:rPr>
        <w:t>[3] J. G. Andrews et al., “What Will 5G Be?,” IEEE J. Sel. Areas Commun., vol. 32, no. 6, pp. 1065–1082, Jun. 2014, doi: 10.1109/JSAC.2014.2328098.</w:t>
      </w:r>
    </w:p>
    <w:p>
      <w:pPr>
        <w:ind w:left="360" w:hanging="360"/>
      </w:pPr>
      <w:r>
        <w:rPr>
          <w:rFonts w:ascii="Times New Roman" w:hAnsi="Times New Roman"/>
          <w:sz w:val="18"/>
        </w:rPr>
        <w:t>[4] X. Foukas et al., “Network Slicing in 5G: Survey and Challenges,” IEEE Commun. Mag., vol. 55, no. 5, pp. 94–100, May 2017, doi: 10.1109/MCOM.2017.1600951.</w:t>
      </w:r>
    </w:p>
    <w:p>
      <w:pPr>
        <w:ind w:left="360" w:hanging="360"/>
      </w:pPr>
      <w:r>
        <w:rPr>
          <w:rFonts w:ascii="Times New Roman" w:hAnsi="Times New Roman"/>
          <w:sz w:val="18"/>
        </w:rPr>
        <w:t>[5] G. Durisi et al., “Toward Massive, Ultrareliable, and Low-Latency Wireless Communication With Short Packets,” Proc. IEEE, vol. 104, no. 9, pp. 1711–1726, Sep. 2016, doi: 10.1109/JPROC.2016.2537298.</w:t>
      </w:r>
    </w:p>
    <w:p>
      <w:pPr>
        <w:ind w:left="360" w:hanging="360"/>
      </w:pPr>
      <w:r>
        <w:rPr>
          <w:rFonts w:ascii="Times New Roman" w:hAnsi="Times New Roman"/>
          <w:sz w:val="18"/>
        </w:rPr>
        <w:t>[6] M. Bennis et al., “Ultrareliable and Low-Latency Wireless Communication: Tail, Risk, and Scale,” Proc. IEEE, vol. 106, no. 10, pp. 1834–1853, Oct. 2018, doi: 10.1109/JPROC.2018.2844contrary.</w:t>
      </w:r>
    </w:p>
    <w:p>
      <w:pPr>
        <w:ind w:left="360" w:hanging="360"/>
      </w:pPr>
      <w:r>
        <w:rPr>
          <w:rFonts w:ascii="Times New Roman" w:hAnsi="Times New Roman"/>
          <w:sz w:val="18"/>
        </w:rPr>
        <w:t>[7] C. Zhang et al., “Data-Driven Proactive Resource Allocation for 5G Networks,” IEEE Access, vol. 7, pp. 147924–147935, 2019, doi: 10.1109/ACCESS.2019.2946715.</w:t>
      </w:r>
    </w:p>
    <w:p>
      <w:pPr>
        <w:ind w:left="360" w:hanging="360"/>
      </w:pPr>
      <w:r>
        <w:rPr>
          <w:rFonts w:ascii="Times New Roman" w:hAnsi="Times New Roman"/>
          <w:sz w:val="18"/>
        </w:rPr>
        <w:t>[8] N. Jiang et al., “Deep Learning for Traffic Prediction and Resource Allocation in 5G Networks,” IEEE Trans. Veh. Technol., vol. 68, no. 11, pp. 11184–11196, Nov. 2019, doi: 10.1109/TVT.2019.2940944.</w:t>
      </w:r>
    </w:p>
    <w:p>
      <w:pPr>
        <w:ind w:left="360" w:hanging="360"/>
      </w:pPr>
      <w:r>
        <w:rPr>
          <w:rFonts w:ascii="Times New Roman" w:hAnsi="Times New Roman"/>
          <w:sz w:val="18"/>
        </w:rPr>
        <w:t>[9] Y. Huang et al., “Mobile Traffic Prediction Using LSTM with Attention Mechanism,” in Proc. IEEE WCSP, 2019, doi: 10.1109/WCSP.2019.8927876.</w:t>
      </w:r>
    </w:p>
    <w:p>
      <w:pPr>
        <w:ind w:left="360" w:hanging="360"/>
      </w:pPr>
      <w:r>
        <w:rPr>
          <w:rFonts w:ascii="Times New Roman" w:hAnsi="Times New Roman"/>
          <w:sz w:val="18"/>
        </w:rPr>
        <w:t>[10] R. Trinh et al., “Mobile Traffic Prediction from Raw Data Using LSTM Networks,” in Proc. IEEE PIMRC, 2018.</w:t>
      </w:r>
    </w:p>
    <w:p>
      <w:pPr>
        <w:ind w:left="360" w:hanging="360"/>
      </w:pPr>
      <w:r>
        <w:rPr>
          <w:rFonts w:ascii="Times New Roman" w:hAnsi="Times New Roman"/>
          <w:sz w:val="18"/>
        </w:rPr>
        <w:t>[11] S. Hochreiter and J. Schmidhuber, “Long Short-Term Memory,” Neural Comput., vol. 9, no. 8, pp. 1735–1780, Nov. 1997, doi: 10.1162/neco.1997.9.8.1735.</w:t>
      </w:r>
    </w:p>
    <w:p>
      <w:pPr>
        <w:ind w:left="360" w:hanging="360"/>
      </w:pPr>
      <w:r>
        <w:rPr>
          <w:rFonts w:ascii="Times New Roman" w:hAnsi="Times New Roman"/>
          <w:sz w:val="18"/>
        </w:rPr>
        <w:t>[12] Y. Bengio et al., “Learning Long-Term Dependencies with Gradient Descent is Difficult,” IEEE Trans. Neural Netw., vol. 5, no. 2, pp. 157–166, Mar. 1994, doi: 10.1109/72.279181.</w:t>
      </w:r>
    </w:p>
    <w:p>
      <w:pPr>
        <w:ind w:left="360" w:hanging="360"/>
      </w:pPr>
      <w:r>
        <w:rPr>
          <w:rFonts w:ascii="Times New Roman" w:hAnsi="Times New Roman"/>
          <w:sz w:val="18"/>
        </w:rPr>
        <w:t>[13] R. Pascanu et al., “On the difficulty of training recurrent neural networks,” in Proc. ICML, 2013, pp. 1310–1318, doi: 10.5555/3042817.3043083.</w:t>
      </w:r>
    </w:p>
    <w:p>
      <w:pPr>
        <w:ind w:left="360" w:hanging="360"/>
      </w:pPr>
      <w:r>
        <w:rPr>
          <w:rFonts w:ascii="Times New Roman" w:hAnsi="Times New Roman"/>
          <w:sz w:val="18"/>
        </w:rPr>
        <w:t>[14] K. Cho et al., “Learning Phrase Representations using RNN Encoder-Decoder for Statistical Machine Translation,” in Proc. EMNLP, 2014, pp. 1724–1734, doi: 10.3115/v1/D14-1179.</w:t>
      </w:r>
    </w:p>
    <w:p>
      <w:pPr>
        <w:ind w:left="360" w:hanging="360"/>
      </w:pPr>
      <w:r>
        <w:rPr>
          <w:rFonts w:ascii="Times New Roman" w:hAnsi="Times New Roman"/>
          <w:sz w:val="18"/>
        </w:rPr>
        <w:t>[15] D. Bahdanau et al., “Neural Machine Translation by Jointly Learning to Align and Translate,” in Proc. ICLR, 2015. arXiv:1409.0473.</w:t>
      </w:r>
    </w:p>
    <w:p>
      <w:pPr>
        <w:ind w:left="360" w:hanging="360"/>
      </w:pPr>
      <w:r>
        <w:rPr>
          <w:rFonts w:ascii="Times New Roman" w:hAnsi="Times New Roman"/>
          <w:sz w:val="18"/>
        </w:rPr>
        <w:t>[16] D. P. Kingma and J. Ba, “Adam: A Method for Stochastic Optimization,” in Proc. ICLR, 2015. arXiv:1412.6980.</w:t>
      </w:r>
    </w:p>
    <w:p>
      <w:pPr>
        <w:ind w:left="360" w:hanging="360"/>
      </w:pPr>
      <w:r>
        <w:rPr>
          <w:rFonts w:ascii="Times New Roman" w:hAnsi="Times New Roman"/>
          <w:sz w:val="18"/>
        </w:rPr>
        <w:t>[17] N. Srivastava et al., “Dropout: A simple way to prevent neural networks from overfitting,” J. Mach. Learn. Res., vol. 15, no. 1, pp. 1929–1958, 2014.</w:t>
      </w:r>
    </w:p>
    <w:p>
      <w:pPr>
        <w:ind w:left="360" w:hanging="360"/>
      </w:pPr>
      <w:r>
        <w:rPr>
          <w:rFonts w:ascii="Times New Roman" w:hAnsi="Times New Roman"/>
          <w:sz w:val="18"/>
        </w:rPr>
        <w:t>[18] K. Greff et al., “LSTM: A Search Space Odyssey,” IEEE Trans. Neural Netw. Learn. Syst., vol. 28, no. 10, pp. 2222–2232, Oct. 2017, doi: 10.1109/TNNLS.2016.2582924.</w:t>
      </w:r>
    </w:p>
    <w:p>
      <w:pPr>
        <w:ind w:left="360" w:hanging="360"/>
      </w:pPr>
      <w:r>
        <w:rPr>
          <w:rFonts w:ascii="Times New Roman" w:hAnsi="Times New Roman"/>
          <w:sz w:val="18"/>
        </w:rPr>
        <w:t>[19] F. A. Gers et al., “Learning to Forget: Continual Prediction with LSTM,” Neural Comput., vol. 12, no. 10, pp. 2451–2471, Oct. 2000, doi: 10.1162/089976600300015015.</w:t>
      </w:r>
    </w:p>
    <w:p>
      <w:pPr>
        <w:ind w:left="360" w:hanging="360"/>
      </w:pPr>
      <w:r>
        <w:rPr>
          <w:rFonts w:ascii="Times New Roman" w:hAnsi="Times New Roman"/>
          <w:sz w:val="18"/>
        </w:rPr>
        <w:t>[20] K. He et al., “Deep Residual Learning for Image Recognition,” in Proc. IEEE CVPR, 2016, pp. 770–778, doi: 10.1109/CVPR.2016.90.</w:t>
      </w:r>
    </w:p>
    <w:p>
      <w:pPr>
        <w:ind w:left="360" w:hanging="360"/>
      </w:pPr>
      <w:r>
        <w:rPr>
          <w:rFonts w:ascii="Times New Roman" w:hAnsi="Times New Roman"/>
          <w:sz w:val="18"/>
        </w:rPr>
        <w:t>[21] J. L. Ba et al., “Layer Normalization,” arXiv:1607.06450, 2016.</w:t>
      </w:r>
    </w:p>
    <w:p>
      <w:pPr>
        <w:ind w:left="360" w:hanging="360"/>
      </w:pPr>
      <w:r>
        <w:rPr>
          <w:rFonts w:ascii="Times New Roman" w:hAnsi="Times New Roman"/>
          <w:sz w:val="18"/>
        </w:rPr>
        <w:t>[22] M. Schuster and K. K. Paliwal, “Bidirectional Recurrent Neural Networks,” IEEE Trans. Signal Process., vol. 45, no. 11, pp. 2673–2681, Nov. 1997, doi: 10.1109/78.650093.</w:t>
      </w:r>
    </w:p>
    <w:p>
      <w:pPr>
        <w:ind w:left="360" w:hanging="360"/>
      </w:pPr>
      <w:r>
        <w:rPr>
          <w:rFonts w:ascii="Times New Roman" w:hAnsi="Times New Roman"/>
          <w:sz w:val="18"/>
        </w:rPr>
        <w:t>[23] R. J. Hyndman and G. Athanasopoulos, Forecasting: Principles and Practice, 2nd ed. OTexts, 2018.</w:t>
      </w:r>
    </w:p>
    <w:p>
      <w:pPr>
        <w:ind w:left="360" w:hanging="360"/>
      </w:pPr>
      <w:r>
        <w:rPr>
          <w:rFonts w:ascii="Times New Roman" w:hAnsi="Times New Roman"/>
          <w:sz w:val="18"/>
        </w:rPr>
        <w:t>[24] G. E. P. Box et al., Time Series Analysis: Forecasting and Control, 5th ed. Wiley, 2015.</w:t>
      </w:r>
    </w:p>
    <w:p>
      <w:pPr>
        <w:ind w:left="360" w:hanging="360"/>
      </w:pPr>
      <w:r>
        <w:rPr>
          <w:rFonts w:ascii="Times New Roman" w:hAnsi="Times New Roman"/>
          <w:sz w:val="18"/>
        </w:rPr>
        <w:t>[25] J. Navarro-Ortiz et al., “A Survey on 5G Usage Scenarios and Traffic Models,” IEEE Commun. Surveys Tuts., vol. 22, no. 2, pp. 905–929, 2020, doi: 10.1109/COMST.2020.2971781.</w:t>
      </w:r>
    </w:p>
    <w:p>
      <w:pPr>
        <w:ind w:left="360" w:hanging="360"/>
      </w:pPr>
      <w:r>
        <w:rPr>
          <w:rFonts w:ascii="Times New Roman" w:hAnsi="Times New Roman"/>
          <w:sz w:val="18"/>
        </w:rPr>
        <w:t>[26] G. Barlacchi et al., “A multi-source dataset of urban life in the city of Milan and the Province of Trentino,” Scientific Data, vol. 2, p. 150055, Nov. 2015, doi: 10.1038/sdata.2015.55.</w:t>
      </w:r>
    </w:p>
    <w:p>
      <w:pPr>
        <w:ind w:left="360" w:hanging="360"/>
      </w:pPr>
      <w:r>
        <w:rPr>
          <w:rFonts w:ascii="Times New Roman" w:hAnsi="Times New Roman"/>
          <w:sz w:val="18"/>
        </w:rPr>
        <w:t>[27] H. Abou-zeid et al., “Cellular Traffic Prediction and Classification: A Comparative Evaluation of LSTM and ARIMA,” in Proc. IEEE ICDM Workshops, 2018, doi: 10.1109/ICDMW.2018.00019.</w:t>
      </w:r>
    </w:p>
    <w:p>
      <w:pPr>
        <w:ind w:left="360" w:hanging="360"/>
      </w:pPr>
      <w:r>
        <w:rPr>
          <w:rFonts w:ascii="Times New Roman" w:hAnsi="Times New Roman"/>
          <w:sz w:val="18"/>
        </w:rPr>
        <w:t>[28] F. Xu et al., “Big Data Driven Mobile Traffic Understanding and Forecasting: A Time Series Approach,” IEEE Trans. Veh. Technol., vol. 65, no. 9, pp. 7019–7032, Sep. 2016, doi: 10.1109/TVT.2016.2519872.</w:t>
      </w:r>
    </w:p>
    <w:p>
      <w:pPr>
        <w:ind w:left="360" w:hanging="360"/>
      </w:pPr>
      <w:r>
        <w:rPr>
          <w:rFonts w:ascii="Times New Roman" w:hAnsi="Times New Roman"/>
          <w:sz w:val="18"/>
        </w:rPr>
        <w:t>[29] 3GPP, “Architecture enhancements for 5G System (5GS) to support network data analytics services,” TS 23.288, Rel. 16, Dec. 2019.</w:t>
      </w:r>
    </w:p>
    <w:p>
      <w:pPr>
        <w:ind w:left="360" w:hanging="360"/>
      </w:pPr>
      <w:r>
        <w:rPr>
          <w:rFonts w:ascii="Times New Roman" w:hAnsi="Times New Roman"/>
          <w:sz w:val="18"/>
        </w:rPr>
        <w:t>[30] I. Sutskever et al., “Sequence to Sequence Learning with Neural Networks,” in Proc. NIPS, 2014, pp. 3104–3112, doi: 10.5555/2969033.2969173.</w:t>
      </w:r>
    </w:p>
    <w:p>
      <w:pPr>
        <w:ind w:left="360" w:hanging="360"/>
      </w:pPr>
      <w:r>
        <w:rPr>
          <w:rFonts w:ascii="Times New Roman" w:hAnsi="Times New Roman"/>
          <w:sz w:val="18"/>
        </w:rPr>
        <w:t>[31] A. Vaswani et al., “Attention is all you need,” in Proc. NIPS, 2017, pp. 5998–6008, doi: 10.5555/3295222.3295349.</w:t>
      </w:r>
    </w:p>
    <w:p>
      <w:pPr>
        <w:ind w:left="360" w:hanging="360"/>
      </w:pPr>
      <w:r>
        <w:rPr>
          <w:rFonts w:ascii="Times New Roman" w:hAnsi="Times New Roman"/>
          <w:sz w:val="18"/>
        </w:rPr>
        <w:t>[32] M.-T. Luong et al., “Effective Approaches to Attention-based Neural Machine Translation,” in Proc. EMNLP, 2015, pp. 1412–1421, doi: 10.18653/v1/D15-1166.</w:t>
      </w:r>
    </w:p>
    <w:p>
      <w:pPr>
        <w:ind w:left="360" w:hanging="360"/>
      </w:pPr>
      <w:r>
        <w:rPr>
          <w:rFonts w:ascii="Times New Roman" w:hAnsi="Times New Roman"/>
          <w:sz w:val="18"/>
        </w:rPr>
        <w:t>[33] Y. Qin et al., “A Dual-Stage Attention-Based Recurrent Neural Network for Time Series Prediction,” in Proc. IJCAI, 2017, pp. 2627–2633, doi: 10.24963/ijcai.2017/366.</w:t>
      </w:r>
    </w:p>
    <w:p>
      <w:pPr>
        <w:ind w:left="360" w:hanging="360"/>
      </w:pPr>
      <w:r>
        <w:rPr>
          <w:rFonts w:ascii="Times New Roman" w:hAnsi="Times New Roman"/>
          <w:sz w:val="18"/>
        </w:rPr>
        <w:t>[34] X. Shi et al., “Convolutional LSTM Network: A Machine Learning Approach for Precipitation Nowcasting,” in Proc. NIPS, 2015, pp. 802–810.</w:t>
      </w:r>
    </w:p>
    <w:p>
      <w:pPr>
        <w:ind w:left="360" w:hanging="360"/>
      </w:pPr>
      <w:r>
        <w:rPr>
          <w:rFonts w:ascii="Times New Roman" w:hAnsi="Times New Roman"/>
          <w:sz w:val="18"/>
        </w:rPr>
        <w:t>[35] Y. Zhang et al., “Network Traffic Prediction Based on LSTM Networks with Genetic Algorithm,” in Proc. IEEE ICNC, 2019, doi: 10.1109/ICCNC.2019.8685628.</w:t>
      </w:r>
    </w:p>
    <w:p>
      <w:pPr>
        <w:ind w:left="360" w:hanging="360"/>
      </w:pPr>
      <w:r>
        <w:rPr>
          <w:rFonts w:ascii="Times New Roman" w:hAnsi="Times New Roman"/>
          <w:sz w:val="18"/>
        </w:rPr>
        <w:t>[36] R. B. Cleveland et al., “STL: A Seasonal-Trend Decomposition Procedure Based on Loess,” J. Off. Stat., vol. 6, no. 1, pp. 3–73, 1990.</w:t>
      </w:r>
    </w:p>
    <w:p>
      <w:pPr>
        <w:ind w:left="360" w:hanging="360"/>
      </w:pPr>
      <w:r>
        <w:rPr>
          <w:rFonts w:ascii="Times New Roman" w:hAnsi="Times New Roman"/>
          <w:sz w:val="18"/>
        </w:rPr>
        <w:t>[37] S. Ben Taieb et al., “A review and comparison of strategies for multi-step ahead time series forecasting,” Expert Syst. Appl., vol. 39, no. 8, pp. 7067–7083, 2012, doi: 10.1016/j.eswa.2012.01.039.</w:t>
      </w:r>
    </w:p>
    <w:p>
      <w:pPr>
        <w:ind w:left="360" w:hanging="360"/>
      </w:pPr>
      <w:r>
        <w:rPr>
          <w:rFonts w:ascii="Times New Roman" w:hAnsi="Times New Roman"/>
          <w:sz w:val="18"/>
        </w:rPr>
        <w:t>[38] P. Rost et al., “Network Slicing to Enable Scalability and Flexibility in 5G Mobile Networks,” IEEE Commun. Mag., vol. 55, no. 5, pp. 72–79, May 2017, doi: 10.1109/MCOM.2017.1600920.</w:t>
      </w:r>
    </w:p>
    <w:p>
      <w:pPr>
        <w:ind w:left="360" w:hanging="360"/>
      </w:pPr>
      <w:r>
        <w:rPr>
          <w:rFonts w:ascii="Times New Roman" w:hAnsi="Times New Roman"/>
          <w:sz w:val="18"/>
        </w:rPr>
        <w:t>[39] A. Ben-Tal et al., Robust Optimization. Princeton Univ. Press, 2009.</w:t>
      </w:r>
    </w:p>
    <w:p>
      <w:pPr>
        <w:ind w:left="360" w:hanging="360"/>
      </w:pPr>
      <w:r>
        <w:rPr>
          <w:rFonts w:ascii="Times New Roman" w:hAnsi="Times New Roman"/>
          <w:sz w:val="18"/>
        </w:rPr>
        <w:t>[40] J. R. Birge and F. Louveaux, Introduction to Stochastic Programming, 2nd ed. Springer, 2011.</w:t>
      </w:r>
    </w:p>
    <w:p>
      <w:pPr>
        <w:ind w:left="360" w:hanging="360"/>
      </w:pPr>
      <w:r>
        <w:rPr>
          <w:rFonts w:ascii="Times New Roman" w:hAnsi="Times New Roman"/>
          <w:sz w:val="18"/>
        </w:rPr>
        <w:t>[41] R. Li et al., “Deep Reinforcement Learning for Resource Management in Network Slicing,” IEEE Access, vol. 6, pp. 74429–74441, 2018, doi: 10.1109/ACCESS.2018.2884508.</w:t>
      </w:r>
    </w:p>
    <w:p>
      <w:pPr>
        <w:ind w:left="360" w:hanging="360"/>
      </w:pPr>
      <w:r>
        <w:rPr>
          <w:rFonts w:ascii="Times New Roman" w:hAnsi="Times New Roman"/>
          <w:sz w:val="18"/>
        </w:rPr>
        <w:t>[42] V. Mnih et al., “Human-level control through deep reinforcement learning,” Nature, vol. 518, no. 7540, pp. 529–533, Feb. 2015, doi: 10.1038/nature14236.</w:t>
      </w:r>
    </w:p>
    <w:p>
      <w:pPr>
        <w:ind w:left="360" w:hanging="360"/>
      </w:pPr>
      <w:r>
        <w:rPr>
          <w:rFonts w:ascii="Times New Roman" w:hAnsi="Times New Roman"/>
          <w:sz w:val="18"/>
        </w:rPr>
        <w:t>[43] C. Benzaid and T. Taleb, “AI-Driven Zero Touch Network and Service Management in 5G and Beyond,” IEEE Netw., vol. 34, no. 2, pp. 186–195, 2020, doi: 10.1109/MNET.001.1900252.</w:t>
      </w:r>
    </w:p>
    <w:p>
      <w:pPr>
        <w:ind w:left="360" w:hanging="360"/>
      </w:pPr>
      <w:r>
        <w:rPr>
          <w:rFonts w:ascii="Times New Roman" w:hAnsi="Times New Roman"/>
          <w:sz w:val="18"/>
        </w:rPr>
        <w:t>[44] R. J. Hyndman and A. B. Koehler, “Another look at measures of forecast accuracy,” Int. J. Forecasting, vol. 22, no. 4, pp. 679–688, 2006, doi: 10.1016/j.ijforecast.2006.03.001.</w:t>
      </w:r>
    </w:p>
    <w:p>
      <w:pPr>
        <w:ind w:left="360" w:hanging="360"/>
      </w:pPr>
      <w:r>
        <w:rPr>
          <w:rFonts w:ascii="Times New Roman" w:hAnsi="Times New Roman"/>
          <w:sz w:val="18"/>
        </w:rPr>
        <w:t>[45] L. Breiman, “Random Forests,” Mach. Learn., vol. 45, no. 1, pp. 5–32, Oct. 2001, doi: 10.1023/A:1010933404324.</w:t>
      </w:r>
    </w:p>
    <w:p>
      <w:pPr>
        <w:ind w:left="360" w:hanging="360"/>
      </w:pPr>
      <w:r>
        <w:rPr>
          <w:rFonts w:ascii="Times New Roman" w:hAnsi="Times New Roman"/>
          <w:sz w:val="18"/>
        </w:rPr>
        <w:t>[46] A. J. Smola and B. Schölkopf, “A tutorial on support vector regression,” Stat. Comput., vol. 14, no. 3, pp. 199–222, 2004, doi: 10.1023/B:STCO.0000035301.49549.88.</w:t>
      </w:r>
    </w:p>
    <w:p>
      <w:pPr>
        <w:ind w:left="360" w:hanging="360"/>
      </w:pPr>
      <w:r>
        <w:rPr>
          <w:rFonts w:ascii="Times New Roman" w:hAnsi="Times New Roman"/>
          <w:sz w:val="18"/>
        </w:rPr>
        <w:t>[47] R. J. Hyndman and Y. Khandakar, “Automatic Time Series Forecasting: The forecast Package for R,” J. Stat. Softw., vol. 27, no. 3, pp. 1–22, 2008, doi: 10.18637/jss.v027.i03.</w:t>
      </w:r>
    </w:p>
    <w:p>
      <w:pPr>
        <w:ind w:left="360" w:hanging="360"/>
      </w:pPr>
      <w:r>
        <w:rPr>
          <w:rFonts w:ascii="Times New Roman" w:hAnsi="Times New Roman"/>
          <w:sz w:val="18"/>
        </w:rPr>
        <w:t>[48] M. Giordani et al., “Toward 6G Networks: Use Cases and Technologies,” IEEE Commun. Mag., vol. 58, no. 3, pp. 55–61, Mar. 2020, doi: 10.1109/MCOM.001.1900411.</w:t>
      </w:r>
    </w:p>
    <w:p>
      <w:pPr>
        <w:ind w:left="360" w:hanging="360"/>
      </w:pPr>
      <w:r>
        <w:rPr>
          <w:rFonts w:ascii="Times New Roman" w:hAnsi="Times New Roman"/>
          <w:sz w:val="18"/>
        </w:rPr>
        <w:t>[49] S. J. Pan and Q. Yang, “A Survey on Transfer Learning,” IEEE Trans. Knowl. Data Eng., vol. 22, no. 10, pp. 1345–1359, Oct. 2010, doi: 10.1109/TKDE.2009.191.</w:t>
      </w:r>
    </w:p>
    <w:p>
      <w:pPr>
        <w:ind w:left="360" w:hanging="360"/>
      </w:pPr>
      <w:r>
        <w:rPr>
          <w:rFonts w:ascii="Times New Roman" w:hAnsi="Times New Roman"/>
          <w:sz w:val="18"/>
        </w:rPr>
        <w:t>[50] J. Konečný et al., “Federated Learning: Strategies for Improving Communication Efficiency,” arXiv:1610.05492, 2016.</w:t>
      </w:r>
    </w:p>
    <w:p>
      <w:pPr>
        <w:ind w:left="360" w:hanging="360"/>
      </w:pPr>
      <w:r>
        <w:rPr>
          <w:rFonts w:ascii="Times New Roman" w:hAnsi="Times New Roman"/>
          <w:sz w:val="18"/>
        </w:rPr>
        <w:t>[51] B. Lim et al., “Temporal Fusion Transformers for interpretable multi-horizon time series forecasting,” Int. J. Forecasting, vol. 37, no. 4, pp. 1748–1764, 2021, doi: 10.1016/j.ijforecast.2021.03.012.</w:t>
      </w:r>
    </w:p>
    <w:p>
      <w:pPr>
        <w:ind w:left="360" w:hanging="360"/>
      </w:pPr>
      <w:r>
        <w:rPr>
          <w:rFonts w:ascii="Times New Roman" w:hAnsi="Times New Roman"/>
          <w:sz w:val="18"/>
        </w:rPr>
        <w:t>[52] S. Bai et al., “An Empirical Evaluation of Generic Convolutional and Recurrent Networks for Sequence Modeling,” arXiv:1803.01271, 2018.</w:t>
      </w:r>
    </w:p>
    <w:p>
      <w:pPr>
        <w:ind w:left="360" w:hanging="360"/>
      </w:pPr>
      <w:r>
        <w:rPr>
          <w:rFonts w:ascii="Times New Roman" w:hAnsi="Times New Roman"/>
          <w:sz w:val="18"/>
        </w:rPr>
        <w:t>[53] Y. Gal and Z. Ghahramani, “Dropout as a Bayesian Approximation: Representing Model Uncertainty in Deep Learning,” in Proc. ICML, 2016, pp. 1050–1059.</w:t>
      </w:r>
    </w:p>
    <w:p>
      <w:pPr>
        <w:ind w:left="360" w:hanging="360"/>
      </w:pPr>
      <w:r>
        <w:rPr>
          <w:rFonts w:ascii="Times New Roman" w:hAnsi="Times New Roman"/>
          <w:sz w:val="18"/>
        </w:rPr>
        <w:t>[54] J. Deng et al., “Artificial Intelligence for 5G and Beyond 5G: Implementations, Algorithms, and Optimizations,” IEEE J. Emerg. Sel. Topics Circuits Syst., vol. 10, no. 2, pp. 149–163, Jun. 2020, doi: 10.1109/JETCAS.2020.2999645.</w:t>
      </w:r>
    </w:p>
    <w:p>
      <w:pPr>
        <w:ind w:left="360" w:hanging="360"/>
      </w:pPr>
      <w:r>
        <w:rPr>
          <w:rFonts w:ascii="Times New Roman" w:hAnsi="Times New Roman"/>
          <w:sz w:val="18"/>
        </w:rPr>
        <w:t>[55] A. Politis et al., “O-RAN: Towards an Open and Smart RAN,” in Proc. IEEE WCNC, 2019, pp.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