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ProofScore Rubric – Aligned to ProofVault &amp; ProofTags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Branding: East Emblem + ProofSync | Framework: Proofscaling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3di5rw3vo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ProofScore is the core metric used to track venture validation progress across five categories. It is calculated through a structured rubric aligned with ProofVault sections and ProofTags. The final score reflects the founder's investor readiness and execution capability.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u4epfw4wv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Scoring Method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category is scored out of 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 (Total Score = 100)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Subscores based on: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Completeness of ProofVault artefacts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evidence quality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ProofTag milestones unlocked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nyu0at8a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🟩 1. Desirability (20 points)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Problem, Persona, Demand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4.48277011959"/>
        <w:gridCol w:w="7831.029040904033"/>
        <w:tblGridChange w:id="0">
          <w:tblGrid>
            <w:gridCol w:w="1194.48277011959"/>
            <w:gridCol w:w="7831.02904090403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Problem/opportunity unclear or generic; no customer interaction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Problem stated clearly; 1–2 interviews or persona draft 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11–15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3+ interviews conducted; validated pain points; persona confirmed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16–20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Consistent demand signals; ICP defined; ProofTags earned: </w:t>
            </w:r>
            <w:r w:rsidDel="00000000" w:rsidR="00000000" w:rsidRPr="00000000">
              <w:rPr>
                <w:i w:val="1"/>
                <w:rtl w:val="0"/>
              </w:rPr>
              <w:t xml:space="preserve">Problem Validated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Persona Confirmed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Demand Signal Detected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1vdmcogsy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🟦 2. Feasibility (20 points)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MVP, Build Plan, Solution Fit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5.81518363672"/>
        <w:gridCol w:w="7859.696627386903"/>
        <w:tblGridChange w:id="0">
          <w:tblGrid>
            <w:gridCol w:w="1165.81518363672"/>
            <w:gridCol w:w="7859.69662738690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Score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 MVP or unclear build path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MVP wireframe or product spec started; build plan loose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11–15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MVP uploaded to ProofVault; pilot feedback or test underway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16–20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Build path mapped; early usage data or validation; ProofTags earned: </w:t>
            </w:r>
            <w:r w:rsidDel="00000000" w:rsidR="00000000" w:rsidRPr="00000000">
              <w:rPr>
                <w:i w:val="1"/>
                <w:rtl w:val="0"/>
              </w:rPr>
              <w:t xml:space="preserve">MVP Functional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Solution Proven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Build Path Validated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6wvyd8t5r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🟧 3. Viability (20 points)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Revenue Model, Pricing, GTM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8.4800106709795"/>
        <w:gridCol w:w="7917.031800352643"/>
        <w:tblGridChange w:id="0">
          <w:tblGrid>
            <w:gridCol w:w="1108.4800106709795"/>
            <w:gridCol w:w="7917.03180035264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Score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 monetisation logic or business model defined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Business model canvas drafted; pricing undefined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11–15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Pricing tested; GTM sketched; funnel logic evident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16–20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Validated GTM; pricing aligned to customer; CAC logic defined; ProofTags earned: </w:t>
            </w:r>
            <w:r w:rsidDel="00000000" w:rsidR="00000000" w:rsidRPr="00000000">
              <w:rPr>
                <w:i w:val="1"/>
                <w:rtl w:val="0"/>
              </w:rPr>
              <w:t xml:space="preserve">Revenue Model Proven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Pricing Confirmed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CAC Acceptable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ij6ygk4uf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4. Traction (20 points)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Milestones, KPI Evidence, Market Signals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2.8138039124146"/>
        <w:gridCol w:w="7902.6980071112075"/>
        <w:tblGridChange w:id="0">
          <w:tblGrid>
            <w:gridCol w:w="1122.8138039124146"/>
            <w:gridCol w:w="7902.69800711120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Score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 measurable traction or defined KPIs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KPIs identified; initial milestone 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11–15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Early traction shown; milestone evidence submitted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16–20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Growth curve mapped; multiple traction metrics validated; ProofTags earned: </w:t>
            </w:r>
            <w:r w:rsidDel="00000000" w:rsidR="00000000" w:rsidRPr="00000000">
              <w:rPr>
                <w:i w:val="1"/>
                <w:rtl w:val="0"/>
              </w:rPr>
              <w:t xml:space="preserve">Traction Validated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Channel Fit Detected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Momentum Detected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xe10rvca3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5. Readiness (20 points)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Investor Presentation, Data Room Quality, Narrative Strength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2.8138039124146"/>
        <w:gridCol w:w="7902.6980071112075"/>
        <w:tblGridChange w:id="0">
          <w:tblGrid>
            <w:gridCol w:w="1122.8138039124146"/>
            <w:gridCol w:w="7902.69800711120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Score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pitch assets or poor narrative alignment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Draft deck and narrative in place; minor ProofVault completion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11–15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Core artefacts uploaded; investor-ready tone developing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16–20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Full ProofVault complete; final deck and financials uploaded; ProofTags earned: </w:t>
            </w:r>
            <w:r w:rsidDel="00000000" w:rsidR="00000000" w:rsidRPr="00000000">
              <w:rPr>
                <w:i w:val="1"/>
                <w:rtl w:val="0"/>
              </w:rPr>
              <w:t xml:space="preserve">Investor Ready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ProofScore Upgraded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Simulation Complete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84wz96e6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ProofScore Summary Sheet (Scoring Output)</w:t>
      </w:r>
    </w:p>
    <w:tbl>
      <w:tblPr>
        <w:tblStyle w:val="Table6"/>
        <w:tblW w:w="3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1310"/>
        <w:gridCol w:w="785"/>
        <w:tblGridChange w:id="0">
          <w:tblGrid>
            <w:gridCol w:w="1370"/>
            <w:gridCol w:w="1310"/>
            <w:gridCol w:w="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Score (/20)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Desirability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/100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Optional: Include reviewer signature, date, and final recommendation: Go / Optimise / Pause.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