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5w21hhygsoc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ProofVault Requirements (Best-in-Class Data Room)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ProofVault is a structured, evidence-driven data room designed for pre-seed to seed-stage readiness. Core sections align with the ProofTags system.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ppol3k676s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I. Introduction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Founder Bio / Market Insight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ProofPlan Canvas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Vision Statement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vcktnarhy7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II. Desirability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Customer Interviews (transcripts or summaries)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Persona Sheets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Problem Statement / Opportunity Brief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Demand Signals / Waitlist Screenshots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sgph62xxoa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III. Feasibility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MVP Demo or Walkthrough (Link or screenshots)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Roadmap or Build Plan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Tech/Delivery Risk Assessment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sa9sbxq0n7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IV. Viability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Business Model Canvas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Pricing Experiments or Logic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GTM Strategy Deck / Campaign Plans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CAC-LTV Benchmark or Assumptions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9j45hdb7j8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V. Traction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KPI Tracker (Milestones + Targets)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Channel Experiment Results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Early Usage or Revenue Snapshots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wkfnq6dsfx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VI. Readiness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Final Pitch Deck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Financial Forecast (12–18 months)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Team Slide / Cap Table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Investor FAQ / Narrative Slide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ProofScore Report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ProofVault structure enables alignment between validation progress (ProofTags) and investor-grade readiness (ProofScore uplift). Each validated item improves both presentation and predictive confidence for funding and scaling discussions.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Optional: Add video walkthroughs, founder narrative clips, or additional annexes (IP, partnerships, etc.) for bonus points.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