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TikTok Minis  激励视频广告接入指南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前置条件</w:t>
      </w:r>
      <w:bookmarkEnd w:id="0"/>
    </w:p>
    <w:tbl>
      <w:tblPr>
        <w:tblW w:w="0" w:type="auto"/>
        <w:tblInd w:w="0" w:type="dxa"/>
        <w:tblBorders>
          <w:top w:val="single" w:color="fbbfbc"/>
          <w:left w:val="single" w:color="fbbfbc"/>
          <w:bottom w:val="single" w:color="fbbfbc"/>
          <w:right w:val="single" w:color="fbbfbc"/>
          <w:insideH w:val="single" w:color="fbbfbc"/>
          <w:insideV w:val="single" w:color="fbbfb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1f1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重要版本限制</w:t>
            </w:r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TikTok 版本</w:t>
            </w:r>
            <w:r>
              <w:rPr>
                <w:rFonts w:eastAsia="等线" w:ascii="Arial" w:cs="Arial" w:hAnsi="Arial"/>
                <w:sz w:val="22"/>
              </w:rPr>
              <w:t xml:space="preserve">：IAA 功能要求 TikTok App 版本 </w:t>
            </w:r>
            <w:r>
              <w:rPr>
                <w:rFonts w:eastAsia="等线" w:ascii="Arial" w:cs="Arial" w:hAnsi="Arial"/>
                <w:b w:val="true"/>
                <w:sz w:val="22"/>
              </w:rPr>
              <w:t>不低于 44.2.0，</w:t>
            </w:r>
            <w:r>
              <w:rPr>
                <w:rFonts w:eastAsia="等线" w:ascii="Arial" w:cs="Arial" w:hAnsi="Arial"/>
                <w:sz w:val="22"/>
              </w:rPr>
              <w:t>开发时请通过</w:t>
            </w:r>
            <w:r>
              <w:rPr>
                <w:rFonts w:eastAsia="等线" w:ascii="Arial" w:cs="Arial" w:hAnsi="Arial"/>
                <w:b w:val="true"/>
                <w:sz w:val="22"/>
              </w:rPr>
              <w:t>canIUse</w:t>
            </w:r>
            <w:r>
              <w:rPr>
                <w:rFonts w:eastAsia="等线" w:ascii="Arial" w:cs="Arial" w:hAnsi="Arial"/>
                <w:sz w:val="22"/>
              </w:rPr>
              <w:t>判断当前客户端是否支持IAA后再使用IAA API</w:t>
            </w:r>
          </w:p>
          <w:tbl>
            <w:tblPr>
              <w:tblW w:w="0" w:type="auto"/>
              <w:tblInd w:w="0" w:type="dxa"/>
              <w:tblBorders>
                <w:top w:val="single"/>
                <w:left w:val="single"/>
                <w:bottom w:val="single"/>
                <w:right w:val="single"/>
                <w:insideH w:val="single"/>
                <w:insideV w:val="single"/>
              </w:tblBorders>
              <w:tblLayout w:type="fixed"/>
            </w:tblPr>
            <w:tblGrid>
              <w:gridCol w:w="8040"/>
            </w:tblGrid>
            <w:tr>
              <w:tc>
                <w:tcPr>
                  <w:tcW w:w="8040" w:type="dxa"/>
                  <w:tcBorders>
                    <w:top w:val="nil"/>
                    <w:left w:sz="18" w:val="single" w:color="BBBFC4"/>
                    <w:bottom w:val="nil"/>
                    <w:right w:val="nil"/>
                  </w:tcBorders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color w:val="646a73"/>
                      <w:sz w:val="22"/>
                    </w:rPr>
                    <w:t>目前投放产品侧已经做了版本限制只投放到4420以上版本的用户，请客户自行处理自然流量部分的用户识别，和版本升级提示的工作（可以添加toast文字引导用户完成TikTok版本升级）</w:t>
                  </w:r>
                </w:p>
              </w:tc>
            </w:tr>
          </w:tbl>
          <w:p>
            <w:pPr>
              <w:jc w:val="left"/>
            </w:pPr>
          </w:p>
        </w:tc>
      </w:tr>
    </w:tbl>
    <w:p/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注意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当前短剧小程序应以IAA为主，使用的IAP能力应只在版本限制的情况下做兼容，否则将影响广告投放效果。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试投阶段会存在低版本用户通过短剧入口而非广告入口进入短剧，建议增加兜底逻辑保证这部分的用户体验。建议的方案有：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当前客户端不支持IAA时，开发时请通过</w:t>
            </w:r>
            <w:r>
              <w:rPr>
                <w:rFonts w:eastAsia="等线" w:ascii="Arial" w:cs="Arial" w:hAnsi="Arial"/>
                <w:b w:val="true"/>
                <w:sz w:val="22"/>
              </w:rPr>
              <w:t>canIUse</w:t>
            </w:r>
            <w:r>
              <w:rPr>
                <w:rFonts w:eastAsia="等线" w:ascii="Arial" w:cs="Arial" w:hAnsi="Arial"/>
                <w:sz w:val="22"/>
              </w:rPr>
              <w:t>判断当前客户端是否支持IAA，正确捕捉异常并提示用户到应用商店升级TikTok版本。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在开始接入前，请确保满足以下条件：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完成企业认证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完成Drama IAA合同签署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 能力简介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激励视频广告用于在 TikTok Minis 中给用户展示一段可获得奖励的视频广告。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开发者前端通过 </w:t>
      </w:r>
      <w:r>
        <w:rPr>
          <w:rFonts w:eastAsia="Consolas" w:ascii="Consolas" w:cs="Consolas" w:hAnsi="Consolas"/>
          <w:sz w:val="22"/>
          <w:shd w:fill="EFF0F1"/>
        </w:rPr>
        <w:t>TTMinis.createRewardedVideoAd()</w:t>
      </w:r>
      <w:r>
        <w:rPr>
          <w:rFonts w:eastAsia="等线" w:ascii="Arial" w:cs="Arial" w:hAnsi="Arial"/>
          <w:sz w:val="22"/>
        </w:rPr>
        <w:t xml:space="preserve"> 创建广告实例，并在用户完整观看广告后，根据 </w:t>
      </w:r>
      <w:r>
        <w:rPr>
          <w:rFonts w:eastAsia="Consolas" w:ascii="Consolas" w:cs="Consolas" w:hAnsi="Consolas"/>
          <w:sz w:val="22"/>
          <w:shd w:fill="EFF0F1"/>
        </w:rPr>
        <w:t>onClose</w:t>
      </w:r>
      <w:r>
        <w:rPr>
          <w:rFonts w:eastAsia="等线" w:ascii="Arial" w:cs="Arial" w:hAnsi="Arial"/>
          <w:sz w:val="22"/>
        </w:rPr>
        <w:t xml:space="preserve"> 回调中的 </w:t>
      </w:r>
      <w:r>
        <w:rPr>
          <w:rFonts w:eastAsia="Consolas" w:ascii="Consolas" w:cs="Consolas" w:hAnsi="Consolas"/>
          <w:sz w:val="22"/>
          <w:shd w:fill="EFF0F1"/>
        </w:rPr>
        <w:t>isEnded</w:t>
      </w:r>
      <w:r>
        <w:rPr>
          <w:rFonts w:eastAsia="等线" w:ascii="Arial" w:cs="Arial" w:hAnsi="Arial"/>
          <w:sz w:val="22"/>
        </w:rPr>
        <w:t xml:space="preserve"> 判断是否发放奖励。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整体流程与小游戏 reward video 广告接入方案一致，只是前端 JSAPI 换成了 Minis 的 </w:t>
      </w:r>
      <w:r>
        <w:rPr>
          <w:rFonts w:eastAsia="Consolas" w:ascii="Consolas" w:cs="Consolas" w:hAnsi="Consolas"/>
          <w:sz w:val="22"/>
          <w:shd w:fill="EFF0F1"/>
        </w:rPr>
        <w:t>TTMinis.createRewardedVideoAd()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激励广告目前没有服务端 Webhook 回调，只能通过客户端 JSAPI 的 onClose 回调中isEnded === true 来判断用户是否看完广告，然后由前端主动通知开发者后端发放权益。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IAA目前没有 webhook ，开发者以js回调做逻辑，和支付目前是一套，但有是否为沙盒环境区分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目前 Minis体系下广告权益的回调链路,没有像支付那样的服务端异步通知机制。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2. 适用场景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建议开发者在以下场景接入激励视频广告：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观看广告解锁剧情章节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观看广告领取金币、体力、道具等奖励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以广告观看完成作为一次显式激励行为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3. 接入前置条件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在接入激励视频广告前，建议开发者先满足这些前置条件：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页面已经完成 Minis JSSDK 接入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HTML 中已正确完成 SDK 初始化：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HTML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&lt;head&gt;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&lt;script src="</w:t>
            </w:r>
            <w:r>
              <w:rPr>
                <w:rFonts w:eastAsia="Consolas" w:ascii="Consolas" w:cs="Consolas" w:hAnsi="Consolas"/>
                <w:sz w:val="22"/>
              </w:rPr>
              <w:t>https://connect.tiktok-minis.com/drama/sdk.js</w:t>
            </w:r>
            <w:r>
              <w:rPr>
                <w:rFonts w:eastAsia="Consolas" w:ascii="Consolas" w:cs="Consolas" w:hAnsi="Consolas"/>
                <w:sz w:val="22"/>
              </w:rPr>
              <w:t>"&gt;&lt;/script&gt;</w:t>
              <w:br/>
              <w:t xml:space="preserve">  &lt;script&gt;</w:t>
              <w:br/>
              <w:t xml:space="preserve">    TTMinis.init({</w:t>
              <w:br/>
              <w:t xml:space="preserve">      clientKey: 'your_client_key',</w:t>
              <w:br/>
              <w:t xml:space="preserve">    });</w:t>
              <w:br/>
              <w:t xml:space="preserve">  &lt;/script&gt;</w:t>
              <w:br/>
            </w:r>
            <w:r>
              <w:rPr>
                <w:rFonts w:eastAsia="Consolas" w:ascii="Consolas" w:cs="Consolas" w:hAnsi="Consolas"/>
                <w:sz w:val="22"/>
              </w:rPr>
              <w:t>&lt;/head&gt;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当前项目能够正常本地启动，并满足以下基础要求：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项目根目录存在 </w:t>
      </w:r>
      <w:r>
        <w:rPr>
          <w:rFonts w:eastAsia="Consolas" w:ascii="Consolas" w:cs="Consolas" w:hAnsi="Consolas"/>
          <w:sz w:val="22"/>
          <w:shd w:fill="EFF0F1"/>
        </w:rPr>
        <w:t>package.json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package.json</w:t>
      </w:r>
      <w:r>
        <w:rPr>
          <w:rFonts w:eastAsia="等线" w:ascii="Arial" w:cs="Arial" w:hAnsi="Arial"/>
          <w:sz w:val="22"/>
        </w:rPr>
        <w:t xml:space="preserve"> 中至少提供 </w:t>
      </w:r>
      <w:r>
        <w:rPr>
          <w:rFonts w:eastAsia="Consolas" w:ascii="Consolas" w:cs="Consolas" w:hAnsi="Consolas"/>
          <w:sz w:val="22"/>
          <w:shd w:fill="EFF0F1"/>
        </w:rPr>
        <w:t>dev</w:t>
      </w:r>
      <w:r>
        <w:rPr>
          <w:rFonts w:eastAsia="等线" w:ascii="Arial" w:cs="Arial" w:hAnsi="Arial"/>
          <w:sz w:val="22"/>
        </w:rPr>
        <w:t xml:space="preserve"> 或 </w:t>
      </w:r>
      <w:r>
        <w:rPr>
          <w:rFonts w:eastAsia="Consolas" w:ascii="Consolas" w:cs="Consolas" w:hAnsi="Consolas"/>
          <w:sz w:val="22"/>
          <w:shd w:fill="EFF0F1"/>
        </w:rPr>
        <w:t>start</w:t>
      </w:r>
      <w:r>
        <w:rPr>
          <w:rFonts w:eastAsia="等线" w:ascii="Arial" w:cs="Arial" w:hAnsi="Arial"/>
          <w:sz w:val="22"/>
        </w:rPr>
        <w:t xml:space="preserve"> 启动脚本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项目根目录存在 </w:t>
      </w:r>
      <w:r>
        <w:rPr>
          <w:rFonts w:eastAsia="Consolas" w:ascii="Consolas" w:cs="Consolas" w:hAnsi="Consolas"/>
          <w:sz w:val="22"/>
          <w:shd w:fill="EFF0F1"/>
        </w:rPr>
        <w:t>minis.config.json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开发者已完成企业认证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开发者已在平台开启 IAA 能力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开发者已在平台创建并激活激励视频广告位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建议先通过 </w:t>
      </w:r>
      <w:r>
        <w:rPr>
          <w:rFonts w:eastAsia="Consolas" w:ascii="Consolas" w:cs="Consolas" w:hAnsi="Consolas"/>
          <w:sz w:val="22"/>
          <w:shd w:fill="EFF0F1"/>
        </w:rPr>
        <w:t>TTMinis.canIUse('createRewardedVideoAd')</w:t>
      </w:r>
      <w:r>
        <w:rPr>
          <w:rFonts w:eastAsia="等线" w:ascii="Arial" w:cs="Arial" w:hAnsi="Arial"/>
          <w:sz w:val="22"/>
        </w:rPr>
        <w:t xml:space="preserve"> 做能力探测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如果你需要在飞书或其他支持 PlantUML 的文档系统中直接展示时序图，可以使用同目录下的文件：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docs/capabilities/ad/rewarded-video-ad.puml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4. 完整接入流程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步骤 0：平台创建并激活广告位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在正式调用激励广告前，开发者需要先在平台后台：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创建奖励性视频广告位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记录广告位 ID（</w:t>
      </w:r>
      <w:r>
        <w:rPr>
          <w:rFonts w:eastAsia="Consolas" w:ascii="Consolas" w:cs="Consolas" w:hAnsi="Consolas"/>
          <w:sz w:val="22"/>
          <w:shd w:fill="EFF0F1"/>
        </w:rPr>
        <w:t>adUnitId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手动把广告位切换为“激活”状态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如果广告位未激活，前端即使成功创建实例，也可能无法正常展示广告。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步骤 1： 前端版本兼容</w:t>
      </w:r>
      <w:bookmarkEnd w:id="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if (TTMinis.canIUse(</w:t>
            </w:r>
            <w:r>
              <w:rPr>
                <w:rFonts w:eastAsia="Consolas" w:ascii="Consolas" w:cs="Consolas" w:hAnsi="Consolas"/>
                <w:sz w:val="22"/>
              </w:rPr>
              <w:t>"</w:t>
            </w:r>
            <w:r>
              <w:rPr>
                <w:rFonts w:eastAsia="Consolas" w:ascii="Consolas" w:cs="Consolas" w:hAnsi="Consolas"/>
                <w:sz w:val="22"/>
              </w:rPr>
              <w:t>createRewardedVideoAd</w:t>
            </w:r>
            <w:r>
              <w:rPr>
                <w:rFonts w:eastAsia="Consolas" w:ascii="Consolas" w:cs="Consolas" w:hAnsi="Consolas"/>
                <w:sz w:val="22"/>
              </w:rPr>
              <w:t>"</w:t>
            </w:r>
            <w:r>
              <w:rPr>
                <w:rFonts w:eastAsia="Consolas" w:ascii="Consolas" w:cs="Consolas" w:hAnsi="Consolas"/>
                <w:sz w:val="22"/>
              </w:rPr>
              <w:t>)) {</w:t>
              <w:br/>
              <w:t xml:space="preserve">   // 可调用激励广告</w:t>
              <w:br/>
              <w:t>} else {</w:t>
              <w:br/>
              <w:t xml:space="preserve">  // 弹出一个弹窗，弹窗内容可为：“当前 TikTok 版本过低，请升级 TikTok 版本”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 xml:space="preserve">步骤 </w:t>
      </w:r>
      <w:r>
        <w:rPr>
          <w:rFonts w:eastAsia="等线" w:ascii="Arial" w:cs="Arial" w:hAnsi="Arial"/>
          <w:b w:val="true"/>
          <w:sz w:val="30"/>
        </w:rPr>
        <w:t>2</w:t>
      </w:r>
      <w:r>
        <w:rPr>
          <w:rFonts w:eastAsia="等线" w:ascii="Arial" w:cs="Arial" w:hAnsi="Arial"/>
          <w:b w:val="true"/>
          <w:sz w:val="30"/>
        </w:rPr>
        <w:t>：前端创建激励广告实例</w:t>
      </w:r>
      <w:bookmarkEnd w:id="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前端调用：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i w:val="true"/>
                <w:sz w:val="22"/>
              </w:rPr>
              <w:t>const</w:t>
            </w:r>
            <w:r>
              <w:rPr>
                <w:rFonts w:eastAsia="Consolas" w:ascii="Consolas" w:cs="Consolas" w:hAnsi="Consolas"/>
                <w:sz w:val="22"/>
              </w:rPr>
              <w:t xml:space="preserve"> rewardedVideoAd = window.TTMinis.createRewardedVideoAd({</w:t>
              <w:br/>
              <w:t xml:space="preserve">  adUnitId: 'your_rewarded_ad_unit_id',</w:t>
              <w:br/>
            </w:r>
            <w:r>
              <w:rPr>
                <w:rFonts w:eastAsia="Consolas" w:ascii="Consolas" w:cs="Consolas" w:hAnsi="Consolas"/>
                <w:sz w:val="22"/>
              </w:rPr>
              <w:t>});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 xml:space="preserve">步骤 </w:t>
      </w:r>
      <w:r>
        <w:rPr>
          <w:rFonts w:eastAsia="等线" w:ascii="Arial" w:cs="Arial" w:hAnsi="Arial"/>
          <w:b w:val="true"/>
          <w:sz w:val="30"/>
        </w:rPr>
        <w:t>3</w:t>
      </w:r>
      <w:r>
        <w:rPr>
          <w:rFonts w:eastAsia="等线" w:ascii="Arial" w:cs="Arial" w:hAnsi="Arial"/>
          <w:b w:val="true"/>
          <w:sz w:val="30"/>
        </w:rPr>
        <w:t>：前端注册回调</w:t>
      </w:r>
      <w:bookmarkEnd w:id="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建议至少注册两类回调：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onClose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onError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onClose</w:t>
      </w:r>
      <w:r>
        <w:rPr>
          <w:rFonts w:eastAsia="等线" w:ascii="Arial" w:cs="Arial" w:hAnsi="Arial"/>
          <w:sz w:val="22"/>
        </w:rPr>
        <w:t xml:space="preserve"> 用于判断用户是否完整看完广告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onError</w:t>
      </w:r>
      <w:r>
        <w:rPr>
          <w:rFonts w:eastAsia="等线" w:ascii="Arial" w:cs="Arial" w:hAnsi="Arial"/>
          <w:sz w:val="22"/>
        </w:rPr>
        <w:t xml:space="preserve"> 用于感知广告拉取失败、播放失败等异常情况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 xml:space="preserve">步骤 </w:t>
      </w:r>
      <w:r>
        <w:rPr>
          <w:rFonts w:eastAsia="等线" w:ascii="Arial" w:cs="Arial" w:hAnsi="Arial"/>
          <w:b w:val="true"/>
          <w:sz w:val="30"/>
        </w:rPr>
        <w:t>4</w:t>
      </w:r>
      <w:r>
        <w:rPr>
          <w:rFonts w:eastAsia="等线" w:ascii="Arial" w:cs="Arial" w:hAnsi="Arial"/>
          <w:b w:val="true"/>
          <w:sz w:val="30"/>
        </w:rPr>
        <w:t>：前端调用</w:t>
      </w:r>
      <w:r>
        <w:rPr>
          <w:rFonts w:eastAsia="等线" w:ascii="Arial" w:cs="Arial" w:hAnsi="Arial"/>
          <w:b w:val="true"/>
          <w:sz w:val="30"/>
        </w:rPr>
        <w:t>`show()`</w:t>
      </w:r>
      <w:r>
        <w:rPr>
          <w:rFonts w:eastAsia="等线" w:ascii="Arial" w:cs="Arial" w:hAnsi="Arial"/>
          <w:b w:val="true"/>
          <w:sz w:val="30"/>
        </w:rPr>
        <w:t xml:space="preserve"> 拉起广告</w:t>
      </w:r>
      <w:bookmarkEnd w:id="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前端通过：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rewardedVideoAd.show()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发起广告展示。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 xml:space="preserve">步骤 </w:t>
      </w:r>
      <w:r>
        <w:rPr>
          <w:rFonts w:eastAsia="等线" w:ascii="Arial" w:cs="Arial" w:hAnsi="Arial"/>
          <w:b w:val="true"/>
          <w:sz w:val="30"/>
        </w:rPr>
        <w:t>5</w:t>
      </w:r>
      <w:r>
        <w:rPr>
          <w:rFonts w:eastAsia="等线" w:ascii="Arial" w:cs="Arial" w:hAnsi="Arial"/>
          <w:b w:val="true"/>
          <w:sz w:val="30"/>
        </w:rPr>
        <w:t>：根据关闭结果决定是否发奖</w:t>
      </w:r>
      <w:bookmarkEnd w:id="1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 </w:t>
      </w:r>
      <w:r>
        <w:rPr>
          <w:rFonts w:eastAsia="Consolas" w:ascii="Consolas" w:cs="Consolas" w:hAnsi="Consolas"/>
          <w:sz w:val="22"/>
          <w:shd w:fill="EFF0F1"/>
        </w:rPr>
        <w:t>onClose</w:t>
      </w:r>
      <w:r>
        <w:rPr>
          <w:rFonts w:eastAsia="等线" w:ascii="Arial" w:cs="Arial" w:hAnsi="Arial"/>
          <w:sz w:val="22"/>
        </w:rPr>
        <w:t xml:space="preserve"> 回调里：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res.isEnded === true</w:t>
      </w:r>
      <w:r>
        <w:rPr>
          <w:rFonts w:eastAsia="等线" w:ascii="Arial" w:cs="Arial" w:hAnsi="Arial"/>
          <w:sz w:val="22"/>
        </w:rPr>
        <w:t>：广告完整播放，可发放奖励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res.isEnded !== true</w:t>
      </w:r>
      <w:r>
        <w:rPr>
          <w:rFonts w:eastAsia="等线" w:ascii="Arial" w:cs="Arial" w:hAnsi="Arial"/>
          <w:sz w:val="22"/>
        </w:rPr>
        <w:t>：广告未完整播放，不建议发奖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 xml:space="preserve">步骤 </w:t>
      </w:r>
      <w:r>
        <w:rPr>
          <w:rFonts w:eastAsia="等线" w:ascii="Arial" w:cs="Arial" w:hAnsi="Arial"/>
          <w:b w:val="true"/>
          <w:sz w:val="30"/>
        </w:rPr>
        <w:t>6</w:t>
      </w:r>
      <w:r>
        <w:rPr>
          <w:rFonts w:eastAsia="等线" w:ascii="Arial" w:cs="Arial" w:hAnsi="Arial"/>
          <w:b w:val="true"/>
          <w:sz w:val="30"/>
        </w:rPr>
        <w:t>：业务侧更新奖励结果</w:t>
      </w:r>
      <w:bookmarkEnd w:id="1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开发者可以在广告播放完成后：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直接由前端发放前端态奖励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或通知开发者后端记录奖励领取结果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或同时做前端展示和服务端持久化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5. API 说明</w:t>
      </w:r>
      <w:bookmarkEnd w:id="1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创建方法：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i w:val="true"/>
                <w:sz w:val="22"/>
              </w:rPr>
              <w:t>const</w:t>
            </w:r>
            <w:r>
              <w:rPr>
                <w:rFonts w:eastAsia="Consolas" w:ascii="Consolas" w:cs="Consolas" w:hAnsi="Consolas"/>
                <w:sz w:val="22"/>
              </w:rPr>
              <w:t xml:space="preserve"> ad = TTMinis.createRewardedVideoAd({ adUnitId: string })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br/>
              <w:t>返回实例常用方法：</w:t>
              <w:br/>
              <w:br/>
              <w:t>| 方法 | 说明 |</w:t>
              <w:br/>
              <w:t>| --- | --- |</w:t>
              <w:br/>
              <w:t>| `show()` | 展示广告，返回 `Promise&lt;void&gt;` |</w:t>
              <w:br/>
              <w:t>| `onClose(callback)` | 监听关闭事件，回调中可获取 `{ isEnded?: boolean }` |</w:t>
              <w:br/>
              <w:t>| `offClose(callback)` | 取消关闭监听 |</w:t>
              <w:br/>
              <w:t>| `onError(callback)` | 监听错误事件 |</w:t>
              <w:br/>
            </w:r>
            <w:r>
              <w:rPr>
                <w:rFonts w:eastAsia="Consolas" w:ascii="Consolas" w:cs="Consolas" w:hAnsi="Consolas"/>
                <w:sz w:val="22"/>
              </w:rPr>
              <w:t>| `offError(callback)` | 取消错误监听 |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6. 前端接入示例</w:t>
      </w:r>
      <w:bookmarkEnd w:id="1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i w:val="true"/>
                <w:sz w:val="22"/>
              </w:rPr>
              <w:t>const</w:t>
            </w:r>
            <w:r>
              <w:rPr>
                <w:rFonts w:eastAsia="Consolas" w:ascii="Consolas" w:cs="Consolas" w:hAnsi="Consolas"/>
                <w:sz w:val="22"/>
              </w:rPr>
              <w:t xml:space="preserve"> rewardedVideoAd = window.TTMinis.createRewardedVideoAd({</w:t>
              <w:br/>
              <w:t xml:space="preserve">  adUnitId: 'your_rewarded_ad_unit_id',</w:t>
              <w:br/>
              <w:t>});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const</w:t>
            </w:r>
            <w:r>
              <w:rPr>
                <w:rFonts w:eastAsia="Consolas" w:ascii="Consolas" w:cs="Consolas" w:hAnsi="Consolas"/>
                <w:sz w:val="22"/>
              </w:rPr>
              <w:t xml:space="preserve"> handleClose = (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res</w:t>
            </w:r>
            <w:r>
              <w:rPr>
                <w:rFonts w:eastAsia="Consolas" w:ascii="Consolas" w:cs="Consolas" w:hAnsi="Consolas"/>
                <w:sz w:val="22"/>
              </w:rPr>
              <w:t xml:space="preserve">)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=&gt;</w:t>
            </w:r>
            <w:r>
              <w:rPr>
                <w:rFonts w:eastAsia="Consolas" w:ascii="Consolas" w:cs="Consolas" w:hAnsi="Consolas"/>
                <w:sz w:val="22"/>
              </w:rPr>
              <w:t xml:space="preserve"> {</w:t>
              <w:br/>
              <w:t xml:space="preserve">  rewardedVideoAd.offClose(handleClose);</w:t>
              <w:br/>
              <w:br/>
              <w:t xml:space="preserve">  if (res.isEnded) {</w:t>
              <w:br/>
              <w:t xml:space="preserve">    console.log('广告完整播放，可发放奖励');</w:t>
              <w:br/>
              <w:t xml:space="preserve">    grantReward();</w:t>
              <w:br/>
              <w:t xml:space="preserve">  } else {</w:t>
              <w:br/>
              <w:t xml:space="preserve">    console.log('用户中途关闭广告，不发放奖励');</w:t>
              <w:br/>
              <w:t xml:space="preserve">  }</w:t>
              <w:br/>
              <w:t>};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const</w:t>
            </w:r>
            <w:r>
              <w:rPr>
                <w:rFonts w:eastAsia="Consolas" w:ascii="Consolas" w:cs="Consolas" w:hAnsi="Consolas"/>
                <w:sz w:val="22"/>
              </w:rPr>
              <w:t xml:space="preserve"> handleError = (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err</w:t>
            </w:r>
            <w:r>
              <w:rPr>
                <w:rFonts w:eastAsia="Consolas" w:ascii="Consolas" w:cs="Consolas" w:hAnsi="Consolas"/>
                <w:sz w:val="22"/>
              </w:rPr>
              <w:t xml:space="preserve">)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=&gt;</w:t>
            </w:r>
            <w:r>
              <w:rPr>
                <w:rFonts w:eastAsia="Consolas" w:ascii="Consolas" w:cs="Consolas" w:hAnsi="Consolas"/>
                <w:sz w:val="22"/>
              </w:rPr>
              <w:t xml:space="preserve"> {</w:t>
              <w:br/>
              <w:t xml:space="preserve">  rewardedVideoAd.offError(handleError);</w:t>
              <w:br/>
              <w:t xml:space="preserve">  console.error('rewarded video ad error', err);</w:t>
              <w:br/>
              <w:t>};</w:t>
              <w:br/>
              <w:br/>
              <w:t>rewardedVideoAd.onClose(handleClose);</w:t>
              <w:br/>
              <w:t>rewardedVideoAd.onError(handleError);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rewardedVideoAd.show().catch((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err</w:t>
            </w:r>
            <w:r>
              <w:rPr>
                <w:rFonts w:eastAsia="Consolas" w:ascii="Consolas" w:cs="Consolas" w:hAnsi="Consolas"/>
                <w:sz w:val="22"/>
              </w:rPr>
              <w:t xml:space="preserve">)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=&gt;</w:t>
            </w:r>
            <w:r>
              <w:rPr>
                <w:rFonts w:eastAsia="Consolas" w:ascii="Consolas" w:cs="Consolas" w:hAnsi="Consolas"/>
                <w:sz w:val="22"/>
              </w:rPr>
              <w:t xml:space="preserve"> {</w:t>
              <w:br/>
              <w:t xml:space="preserve">  console.error('rewarded video ad show failed', err);</w:t>
              <w:br/>
              <w:t>});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7. 联调建议</w:t>
      </w:r>
      <w:bookmarkEnd w:id="1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建议开发者按下面顺序联调：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先确认广告位已创建并激活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启动 </w:t>
      </w:r>
      <w:r>
        <w:rPr>
          <w:rFonts w:eastAsia="Consolas" w:ascii="Consolas" w:cs="Consolas" w:hAnsi="Consolas"/>
          <w:sz w:val="22"/>
          <w:shd w:fill="EFF0F1"/>
        </w:rPr>
        <w:t>minis dev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使用调试页中的开发者选项开启广告 Mock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通过扫码连接客户端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在业务页面触发广告展示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分别验证：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完整播放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中途关闭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拉取失败 / 播放失败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8. 常见问题</w:t>
      </w:r>
      <w:bookmarkEnd w:id="15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8.1 广告位已经创建，为什么还是不能展示</w:t>
      </w:r>
      <w:bookmarkEnd w:id="1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先检查广告位是否真正切成了“激活”状态。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8.2 为什么</w:t>
      </w:r>
      <w:r>
        <w:rPr>
          <w:rFonts w:eastAsia="等线" w:ascii="Arial" w:cs="Arial" w:hAnsi="Arial"/>
          <w:b w:val="true"/>
          <w:sz w:val="30"/>
        </w:rPr>
        <w:t>`show()`</w:t>
      </w:r>
      <w:r>
        <w:rPr>
          <w:rFonts w:eastAsia="等线" w:ascii="Arial" w:cs="Arial" w:hAnsi="Arial"/>
          <w:b w:val="true"/>
          <w:sz w:val="30"/>
        </w:rPr>
        <w:t xml:space="preserve"> 失败</w:t>
      </w:r>
      <w:bookmarkEnd w:id="1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常见原因包括：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当前环境不支持该能力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广告位 ID 无效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广告素材拉取失败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播放过程中出现异常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8.3 一个广告实例能反复</w:t>
      </w:r>
      <w:r>
        <w:rPr>
          <w:rFonts w:eastAsia="等线" w:ascii="Arial" w:cs="Arial" w:hAnsi="Arial"/>
          <w:b w:val="true"/>
          <w:sz w:val="30"/>
        </w:rPr>
        <w:t>`show()`</w:t>
      </w:r>
      <w:r>
        <w:rPr>
          <w:rFonts w:eastAsia="等线" w:ascii="Arial" w:cs="Arial" w:hAnsi="Arial"/>
          <w:b w:val="true"/>
          <w:sz w:val="30"/>
        </w:rPr>
        <w:t xml:space="preserve"> 吗</w:t>
      </w:r>
      <w:bookmarkEnd w:id="1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不建议。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当前推荐做法是：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每次展示前重新创建一个新的广告实例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8.4 如何在本地快速调试奖励链路</w:t>
      </w:r>
      <w:bookmarkEnd w:id="1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建议通过开发者工具开启 IAA Mock，这样无需真实观看广告，也能模拟：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播放完成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播放失败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用户取消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9. 最佳实践</w:t>
      </w:r>
      <w:bookmarkEnd w:id="20"/>
    </w:p>
    <w:p>
      <w:pPr>
        <w:spacing w:before="120" w:after="120" w:line="288" w:lineRule="auto"/>
        <w:ind w:left="0"/>
        <w:jc w:val="left"/>
      </w:pP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广告展示前先做 </w:t>
      </w:r>
      <w:r>
        <w:rPr>
          <w:rFonts w:eastAsia="Consolas" w:ascii="Consolas" w:cs="Consolas" w:hAnsi="Consolas"/>
          <w:sz w:val="22"/>
          <w:shd w:fill="EFF0F1"/>
        </w:rPr>
        <w:t>canIUse</w:t>
      </w:r>
      <w:r>
        <w:rPr>
          <w:rFonts w:eastAsia="等线" w:ascii="Arial" w:cs="Arial" w:hAnsi="Arial"/>
          <w:sz w:val="22"/>
        </w:rPr>
        <w:t xml:space="preserve"> 探测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广告位创建后第一时间激活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每次展示使用新的广告实例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只在 </w:t>
      </w:r>
      <w:r>
        <w:rPr>
          <w:rFonts w:eastAsia="Consolas" w:ascii="Consolas" w:cs="Consolas" w:hAnsi="Consolas"/>
          <w:sz w:val="22"/>
          <w:shd w:fill="EFF0F1"/>
        </w:rPr>
        <w:t>isEnded === true</w:t>
      </w:r>
      <w:r>
        <w:rPr>
          <w:rFonts w:eastAsia="等线" w:ascii="Arial" w:cs="Arial" w:hAnsi="Arial"/>
          <w:sz w:val="22"/>
        </w:rPr>
        <w:t xml:space="preserve"> 时发奖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需要严格风控时，可由开发者后端记录奖励发放日志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74761">
    <w:lvl>
      <w:numFmt w:val="bullet"/>
      <w:suff w:val="tab"/>
      <w:lvlText w:val="•"/>
      <w:rPr>
        <w:color w:val="3370ff"/>
      </w:rPr>
    </w:lvl>
  </w:abstractNum>
  <w:abstractNum w:abstractNumId="174762">
    <w:lvl>
      <w:numFmt w:val="bullet"/>
      <w:suff w:val="tab"/>
      <w:lvlText w:val="•"/>
      <w:rPr>
        <w:color w:val="3370ff"/>
      </w:rPr>
    </w:lvl>
  </w:abstractNum>
  <w:abstractNum w:abstractNumId="174763">
    <w:lvl>
      <w:numFmt w:val="bullet"/>
      <w:suff w:val="tab"/>
      <w:lvlText w:val="•"/>
      <w:rPr>
        <w:color w:val="3370ff"/>
      </w:rPr>
    </w:lvl>
  </w:abstractNum>
  <w:abstractNum w:abstractNumId="174764">
    <w:lvl>
      <w:numFmt w:val="bullet"/>
      <w:suff w:val="tab"/>
      <w:lvlText w:val="￮"/>
      <w:rPr>
        <w:color w:val="3370ff"/>
      </w:rPr>
    </w:lvl>
  </w:abstractNum>
  <w:abstractNum w:abstractNumId="174765">
    <w:lvl>
      <w:numFmt w:val="bullet"/>
      <w:suff w:val="tab"/>
      <w:lvlText w:val="•"/>
      <w:rPr>
        <w:color w:val="3370ff"/>
      </w:rPr>
    </w:lvl>
  </w:abstractNum>
  <w:abstractNum w:abstractNumId="174766">
    <w:lvl>
      <w:numFmt w:val="bullet"/>
      <w:suff w:val="tab"/>
      <w:lvlText w:val="•"/>
      <w:rPr>
        <w:color w:val="3370ff"/>
      </w:rPr>
    </w:lvl>
  </w:abstractNum>
  <w:abstractNum w:abstractNumId="174767">
    <w:lvl>
      <w:numFmt w:val="bullet"/>
      <w:suff w:val="tab"/>
      <w:lvlText w:val="•"/>
      <w:rPr>
        <w:color w:val="3370ff"/>
      </w:rPr>
    </w:lvl>
  </w:abstractNum>
  <w:abstractNum w:abstractNumId="174768">
    <w:lvl>
      <w:numFmt w:val="bullet"/>
      <w:suff w:val="tab"/>
      <w:lvlText w:val="•"/>
      <w:rPr>
        <w:color w:val="3370ff"/>
      </w:rPr>
    </w:lvl>
  </w:abstractNum>
  <w:abstractNum w:abstractNumId="174769">
    <w:lvl>
      <w:numFmt w:val="bullet"/>
      <w:suff w:val="tab"/>
      <w:lvlText w:val="•"/>
      <w:rPr>
        <w:color w:val="3370ff"/>
      </w:rPr>
    </w:lvl>
  </w:abstractNum>
  <w:abstractNum w:abstractNumId="174770">
    <w:lvl>
      <w:numFmt w:val="bullet"/>
      <w:suff w:val="tab"/>
      <w:lvlText w:val="•"/>
      <w:rPr>
        <w:color w:val="3370ff"/>
      </w:rPr>
    </w:lvl>
  </w:abstractNum>
  <w:abstractNum w:abstractNumId="174771">
    <w:lvl>
      <w:numFmt w:val="bullet"/>
      <w:suff w:val="tab"/>
      <w:lvlText w:val="•"/>
      <w:rPr>
        <w:color w:val="3370ff"/>
      </w:rPr>
    </w:lvl>
  </w:abstractNum>
  <w:abstractNum w:abstractNumId="174772">
    <w:lvl>
      <w:start w:val="1"/>
      <w:numFmt w:val="decimal"/>
      <w:suff w:val="tab"/>
      <w:lvlText w:val="%1."/>
      <w:rPr>
        <w:color w:val="3370ff"/>
      </w:rPr>
    </w:lvl>
  </w:abstractNum>
  <w:abstractNum w:abstractNumId="174773">
    <w:lvl>
      <w:start w:val="2"/>
      <w:numFmt w:val="decimal"/>
      <w:suff w:val="tab"/>
      <w:lvlText w:val="%1."/>
      <w:rPr>
        <w:color w:val="3370ff"/>
      </w:rPr>
    </w:lvl>
  </w:abstractNum>
  <w:abstractNum w:abstractNumId="174774">
    <w:lvl>
      <w:start w:val="3"/>
      <w:numFmt w:val="decimal"/>
      <w:suff w:val="tab"/>
      <w:lvlText w:val="%1."/>
      <w:rPr>
        <w:color w:val="3370ff"/>
      </w:rPr>
    </w:lvl>
  </w:abstractNum>
  <w:abstractNum w:abstractNumId="174775">
    <w:lvl>
      <w:numFmt w:val="bullet"/>
      <w:suff w:val="tab"/>
      <w:lvlText w:val="￮"/>
      <w:rPr>
        <w:color w:val="3370ff"/>
      </w:rPr>
    </w:lvl>
  </w:abstractNum>
  <w:abstractNum w:abstractNumId="174776">
    <w:lvl>
      <w:numFmt w:val="bullet"/>
      <w:suff w:val="tab"/>
      <w:lvlText w:val="￮"/>
      <w:rPr>
        <w:color w:val="3370ff"/>
      </w:rPr>
    </w:lvl>
  </w:abstractNum>
  <w:abstractNum w:abstractNumId="174777">
    <w:lvl>
      <w:numFmt w:val="bullet"/>
      <w:suff w:val="tab"/>
      <w:lvlText w:val="￮"/>
      <w:rPr>
        <w:color w:val="3370ff"/>
      </w:rPr>
    </w:lvl>
  </w:abstractNum>
  <w:abstractNum w:abstractNumId="174778">
    <w:lvl>
      <w:start w:val="4"/>
      <w:numFmt w:val="decimal"/>
      <w:suff w:val="tab"/>
      <w:lvlText w:val="%1."/>
      <w:rPr>
        <w:color w:val="3370ff"/>
      </w:rPr>
    </w:lvl>
  </w:abstractNum>
  <w:abstractNum w:abstractNumId="174779">
    <w:lvl>
      <w:start w:val="5"/>
      <w:numFmt w:val="decimal"/>
      <w:suff w:val="tab"/>
      <w:lvlText w:val="%1."/>
      <w:rPr>
        <w:color w:val="3370ff"/>
      </w:rPr>
    </w:lvl>
  </w:abstractNum>
  <w:abstractNum w:abstractNumId="174780">
    <w:lvl>
      <w:start w:val="6"/>
      <w:numFmt w:val="decimal"/>
      <w:suff w:val="tab"/>
      <w:lvlText w:val="%1."/>
      <w:rPr>
        <w:color w:val="3370ff"/>
      </w:rPr>
    </w:lvl>
  </w:abstractNum>
  <w:abstractNum w:abstractNumId="174781">
    <w:lvl>
      <w:start w:val="7"/>
      <w:numFmt w:val="decimal"/>
      <w:suff w:val="tab"/>
      <w:lvlText w:val="%1."/>
      <w:rPr>
        <w:color w:val="3370ff"/>
      </w:rPr>
    </w:lvl>
  </w:abstractNum>
  <w:abstractNum w:abstractNumId="174782">
    <w:lvl>
      <w:numFmt w:val="bullet"/>
      <w:suff w:val="tab"/>
      <w:lvlText w:val="•"/>
      <w:rPr>
        <w:color w:val="3370ff"/>
      </w:rPr>
    </w:lvl>
  </w:abstractNum>
  <w:abstractNum w:abstractNumId="174783">
    <w:lvl>
      <w:start w:val="1"/>
      <w:numFmt w:val="decimal"/>
      <w:suff w:val="tab"/>
      <w:lvlText w:val="%1."/>
      <w:rPr>
        <w:color w:val="3370ff"/>
      </w:rPr>
    </w:lvl>
  </w:abstractNum>
  <w:abstractNum w:abstractNumId="174784">
    <w:lvl>
      <w:start w:val="2"/>
      <w:numFmt w:val="decimal"/>
      <w:suff w:val="tab"/>
      <w:lvlText w:val="%1."/>
      <w:rPr>
        <w:color w:val="3370ff"/>
      </w:rPr>
    </w:lvl>
  </w:abstractNum>
  <w:abstractNum w:abstractNumId="174785">
    <w:lvl>
      <w:start w:val="3"/>
      <w:numFmt w:val="decimal"/>
      <w:suff w:val="tab"/>
      <w:lvlText w:val="%1."/>
      <w:rPr>
        <w:color w:val="3370ff"/>
      </w:rPr>
    </w:lvl>
  </w:abstractNum>
  <w:abstractNum w:abstractNumId="174786">
    <w:lvl>
      <w:numFmt w:val="bullet"/>
      <w:suff w:val="tab"/>
      <w:lvlText w:val="•"/>
      <w:rPr>
        <w:color w:val="3370ff"/>
      </w:rPr>
    </w:lvl>
  </w:abstractNum>
  <w:abstractNum w:abstractNumId="174787">
    <w:lvl>
      <w:numFmt w:val="bullet"/>
      <w:suff w:val="tab"/>
      <w:lvlText w:val="•"/>
      <w:rPr>
        <w:color w:val="3370ff"/>
      </w:rPr>
    </w:lvl>
  </w:abstractNum>
  <w:abstractNum w:abstractNumId="174788">
    <w:lvl>
      <w:numFmt w:val="bullet"/>
      <w:suff w:val="tab"/>
      <w:lvlText w:val="•"/>
      <w:rPr>
        <w:color w:val="3370ff"/>
      </w:rPr>
    </w:lvl>
  </w:abstractNum>
  <w:abstractNum w:abstractNumId="174789">
    <w:lvl>
      <w:numFmt w:val="bullet"/>
      <w:suff w:val="tab"/>
      <w:lvlText w:val="•"/>
      <w:rPr>
        <w:color w:val="3370ff"/>
      </w:rPr>
    </w:lvl>
  </w:abstractNum>
  <w:abstractNum w:abstractNumId="174790">
    <w:lvl>
      <w:numFmt w:val="bullet"/>
      <w:suff w:val="tab"/>
      <w:lvlText w:val="•"/>
      <w:rPr>
        <w:color w:val="3370ff"/>
      </w:rPr>
    </w:lvl>
  </w:abstractNum>
  <w:abstractNum w:abstractNumId="174791">
    <w:lvl>
      <w:numFmt w:val="bullet"/>
      <w:suff w:val="tab"/>
      <w:lvlText w:val="•"/>
      <w:rPr>
        <w:color w:val="3370ff"/>
      </w:rPr>
    </w:lvl>
  </w:abstractNum>
  <w:abstractNum w:abstractNumId="174792">
    <w:lvl>
      <w:numFmt w:val="bullet"/>
      <w:suff w:val="tab"/>
      <w:lvlText w:val="•"/>
      <w:rPr>
        <w:color w:val="3370ff"/>
      </w:rPr>
    </w:lvl>
  </w:abstractNum>
  <w:abstractNum w:abstractNumId="174793">
    <w:lvl>
      <w:numFmt w:val="bullet"/>
      <w:suff w:val="tab"/>
      <w:lvlText w:val="•"/>
      <w:rPr>
        <w:color w:val="3370ff"/>
      </w:rPr>
    </w:lvl>
  </w:abstractNum>
  <w:abstractNum w:abstractNumId="174794">
    <w:lvl>
      <w:numFmt w:val="bullet"/>
      <w:suff w:val="tab"/>
      <w:lvlText w:val="•"/>
      <w:rPr>
        <w:color w:val="3370ff"/>
      </w:rPr>
    </w:lvl>
  </w:abstractNum>
  <w:abstractNum w:abstractNumId="174795">
    <w:lvl>
      <w:start w:val="1"/>
      <w:numFmt w:val="decimal"/>
      <w:suff w:val="tab"/>
      <w:lvlText w:val="%1."/>
      <w:rPr>
        <w:color w:val="3370ff"/>
      </w:rPr>
    </w:lvl>
  </w:abstractNum>
  <w:abstractNum w:abstractNumId="174796">
    <w:lvl>
      <w:start w:val="2"/>
      <w:numFmt w:val="decimal"/>
      <w:suff w:val="tab"/>
      <w:lvlText w:val="%1."/>
      <w:rPr>
        <w:color w:val="3370ff"/>
      </w:rPr>
    </w:lvl>
  </w:abstractNum>
  <w:abstractNum w:abstractNumId="174797">
    <w:lvl>
      <w:start w:val="3"/>
      <w:numFmt w:val="decimal"/>
      <w:suff w:val="tab"/>
      <w:lvlText w:val="%1."/>
      <w:rPr>
        <w:color w:val="3370ff"/>
      </w:rPr>
    </w:lvl>
  </w:abstractNum>
  <w:abstractNum w:abstractNumId="174798">
    <w:lvl>
      <w:start w:val="4"/>
      <w:numFmt w:val="decimal"/>
      <w:suff w:val="tab"/>
      <w:lvlText w:val="%1."/>
      <w:rPr>
        <w:color w:val="3370ff"/>
      </w:rPr>
    </w:lvl>
  </w:abstractNum>
  <w:abstractNum w:abstractNumId="174799">
    <w:lvl>
      <w:start w:val="5"/>
      <w:numFmt w:val="decimal"/>
      <w:suff w:val="tab"/>
      <w:lvlText w:val="%1."/>
      <w:rPr>
        <w:color w:val="3370ff"/>
      </w:rPr>
    </w:lvl>
  </w:abstractNum>
  <w:abstractNum w:abstractNumId="174800">
    <w:lvl>
      <w:start w:val="6"/>
      <w:numFmt w:val="decimal"/>
      <w:suff w:val="tab"/>
      <w:lvlText w:val="%1."/>
      <w:rPr>
        <w:color w:val="3370ff"/>
      </w:rPr>
    </w:lvl>
  </w:abstractNum>
  <w:abstractNum w:abstractNumId="174801">
    <w:lvl>
      <w:numFmt w:val="bullet"/>
      <w:suff w:val="tab"/>
      <w:lvlText w:val="￮"/>
      <w:rPr>
        <w:color w:val="3370ff"/>
      </w:rPr>
    </w:lvl>
  </w:abstractNum>
  <w:abstractNum w:abstractNumId="174802">
    <w:lvl>
      <w:numFmt w:val="bullet"/>
      <w:suff w:val="tab"/>
      <w:lvlText w:val="￮"/>
      <w:rPr>
        <w:color w:val="3370ff"/>
      </w:rPr>
    </w:lvl>
  </w:abstractNum>
  <w:abstractNum w:abstractNumId="174803">
    <w:lvl>
      <w:numFmt w:val="bullet"/>
      <w:suff w:val="tab"/>
      <w:lvlText w:val="￮"/>
      <w:rPr>
        <w:color w:val="3370ff"/>
      </w:rPr>
    </w:lvl>
  </w:abstractNum>
  <w:abstractNum w:abstractNumId="174804">
    <w:lvl>
      <w:numFmt w:val="bullet"/>
      <w:suff w:val="tab"/>
      <w:lvlText w:val="•"/>
      <w:rPr>
        <w:color w:val="3370ff"/>
      </w:rPr>
    </w:lvl>
  </w:abstractNum>
  <w:abstractNum w:abstractNumId="174805">
    <w:lvl>
      <w:numFmt w:val="bullet"/>
      <w:suff w:val="tab"/>
      <w:lvlText w:val="•"/>
      <w:rPr>
        <w:color w:val="3370ff"/>
      </w:rPr>
    </w:lvl>
  </w:abstractNum>
  <w:abstractNum w:abstractNumId="174806">
    <w:lvl>
      <w:numFmt w:val="bullet"/>
      <w:suff w:val="tab"/>
      <w:lvlText w:val="•"/>
      <w:rPr>
        <w:color w:val="3370ff"/>
      </w:rPr>
    </w:lvl>
  </w:abstractNum>
  <w:abstractNum w:abstractNumId="174807">
    <w:lvl>
      <w:numFmt w:val="bullet"/>
      <w:suff w:val="tab"/>
      <w:lvlText w:val="•"/>
      <w:rPr>
        <w:color w:val="3370ff"/>
      </w:rPr>
    </w:lvl>
  </w:abstractNum>
  <w:abstractNum w:abstractNumId="174808">
    <w:lvl>
      <w:numFmt w:val="bullet"/>
      <w:suff w:val="tab"/>
      <w:lvlText w:val="•"/>
      <w:rPr>
        <w:color w:val="3370ff"/>
      </w:rPr>
    </w:lvl>
  </w:abstractNum>
  <w:abstractNum w:abstractNumId="174809">
    <w:lvl>
      <w:numFmt w:val="bullet"/>
      <w:suff w:val="tab"/>
      <w:lvlText w:val="•"/>
      <w:rPr>
        <w:color w:val="3370ff"/>
      </w:rPr>
    </w:lvl>
  </w:abstractNum>
  <w:abstractNum w:abstractNumId="174810">
    <w:lvl>
      <w:numFmt w:val="bullet"/>
      <w:suff w:val="tab"/>
      <w:lvlText w:val="•"/>
      <w:rPr>
        <w:color w:val="3370ff"/>
      </w:rPr>
    </w:lvl>
  </w:abstractNum>
  <w:abstractNum w:abstractNumId="174811">
    <w:lvl>
      <w:numFmt w:val="bullet"/>
      <w:suff w:val="tab"/>
      <w:lvlText w:val="•"/>
      <w:rPr>
        <w:color w:val="3370ff"/>
      </w:rPr>
    </w:lvl>
  </w:abstractNum>
  <w:abstractNum w:abstractNumId="174812">
    <w:lvl>
      <w:start w:val="1"/>
      <w:numFmt w:val="decimal"/>
      <w:suff w:val="tab"/>
      <w:lvlText w:val="%1."/>
      <w:rPr>
        <w:color w:val="3370ff"/>
      </w:rPr>
    </w:lvl>
  </w:abstractNum>
  <w:abstractNum w:abstractNumId="174813">
    <w:lvl>
      <w:start w:val="2"/>
      <w:numFmt w:val="decimal"/>
      <w:suff w:val="tab"/>
      <w:lvlText w:val="%1."/>
      <w:rPr>
        <w:color w:val="3370ff"/>
      </w:rPr>
    </w:lvl>
  </w:abstractNum>
  <w:abstractNum w:abstractNumId="174814">
    <w:lvl>
      <w:start w:val="3"/>
      <w:numFmt w:val="decimal"/>
      <w:suff w:val="tab"/>
      <w:lvlText w:val="%1."/>
      <w:rPr>
        <w:color w:val="3370ff"/>
      </w:rPr>
    </w:lvl>
  </w:abstractNum>
  <w:abstractNum w:abstractNumId="174815">
    <w:lvl>
      <w:start w:val="4"/>
      <w:numFmt w:val="decimal"/>
      <w:suff w:val="tab"/>
      <w:lvlText w:val="%1."/>
      <w:rPr>
        <w:color w:val="3370ff"/>
      </w:rPr>
    </w:lvl>
  </w:abstractNum>
  <w:abstractNum w:abstractNumId="174816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174761"/>
  </w:num>
  <w:num w:numId="2">
    <w:abstractNumId w:val="174762"/>
  </w:num>
  <w:num w:numId="3">
    <w:abstractNumId w:val="174763"/>
  </w:num>
  <w:num w:numId="4">
    <w:abstractNumId w:val="174764"/>
  </w:num>
  <w:num w:numId="5">
    <w:abstractNumId w:val="174765"/>
  </w:num>
  <w:num w:numId="6">
    <w:abstractNumId w:val="174766"/>
  </w:num>
  <w:num w:numId="7">
    <w:abstractNumId w:val="174767"/>
  </w:num>
  <w:num w:numId="8">
    <w:abstractNumId w:val="174768"/>
  </w:num>
  <w:num w:numId="9">
    <w:abstractNumId w:val="174769"/>
  </w:num>
  <w:num w:numId="10">
    <w:abstractNumId w:val="174770"/>
  </w:num>
  <w:num w:numId="11">
    <w:abstractNumId w:val="174771"/>
  </w:num>
  <w:num w:numId="12">
    <w:abstractNumId w:val="174772"/>
  </w:num>
  <w:num w:numId="13">
    <w:abstractNumId w:val="174773"/>
  </w:num>
  <w:num w:numId="14">
    <w:abstractNumId w:val="174774"/>
  </w:num>
  <w:num w:numId="15">
    <w:abstractNumId w:val="174775"/>
  </w:num>
  <w:num w:numId="16">
    <w:abstractNumId w:val="174776"/>
  </w:num>
  <w:num w:numId="17">
    <w:abstractNumId w:val="174777"/>
  </w:num>
  <w:num w:numId="18">
    <w:abstractNumId w:val="174778"/>
  </w:num>
  <w:num w:numId="19">
    <w:abstractNumId w:val="174779"/>
  </w:num>
  <w:num w:numId="20">
    <w:abstractNumId w:val="174780"/>
  </w:num>
  <w:num w:numId="21">
    <w:abstractNumId w:val="174781"/>
  </w:num>
  <w:num w:numId="22">
    <w:abstractNumId w:val="174782"/>
  </w:num>
  <w:num w:numId="23">
    <w:abstractNumId w:val="174783"/>
  </w:num>
  <w:num w:numId="24">
    <w:abstractNumId w:val="174784"/>
  </w:num>
  <w:num w:numId="25">
    <w:abstractNumId w:val="174785"/>
  </w:num>
  <w:num w:numId="26">
    <w:abstractNumId w:val="174786"/>
  </w:num>
  <w:num w:numId="27">
    <w:abstractNumId w:val="174787"/>
  </w:num>
  <w:num w:numId="28">
    <w:abstractNumId w:val="174788"/>
  </w:num>
  <w:num w:numId="29">
    <w:abstractNumId w:val="174789"/>
  </w:num>
  <w:num w:numId="30">
    <w:abstractNumId w:val="174790"/>
  </w:num>
  <w:num w:numId="31">
    <w:abstractNumId w:val="174791"/>
  </w:num>
  <w:num w:numId="32">
    <w:abstractNumId w:val="174792"/>
  </w:num>
  <w:num w:numId="33">
    <w:abstractNumId w:val="174793"/>
  </w:num>
  <w:num w:numId="34">
    <w:abstractNumId w:val="174794"/>
  </w:num>
  <w:num w:numId="35">
    <w:abstractNumId w:val="174795"/>
  </w:num>
  <w:num w:numId="36">
    <w:abstractNumId w:val="174796"/>
  </w:num>
  <w:num w:numId="37">
    <w:abstractNumId w:val="174797"/>
  </w:num>
  <w:num w:numId="38">
    <w:abstractNumId w:val="174798"/>
  </w:num>
  <w:num w:numId="39">
    <w:abstractNumId w:val="174799"/>
  </w:num>
  <w:num w:numId="40">
    <w:abstractNumId w:val="174800"/>
  </w:num>
  <w:num w:numId="41">
    <w:abstractNumId w:val="174801"/>
  </w:num>
  <w:num w:numId="42">
    <w:abstractNumId w:val="174802"/>
  </w:num>
  <w:num w:numId="43">
    <w:abstractNumId w:val="174803"/>
  </w:num>
  <w:num w:numId="44">
    <w:abstractNumId w:val="174804"/>
  </w:num>
  <w:num w:numId="45">
    <w:abstractNumId w:val="174805"/>
  </w:num>
  <w:num w:numId="46">
    <w:abstractNumId w:val="174806"/>
  </w:num>
  <w:num w:numId="47">
    <w:abstractNumId w:val="174807"/>
  </w:num>
  <w:num w:numId="48">
    <w:abstractNumId w:val="174808"/>
  </w:num>
  <w:num w:numId="49">
    <w:abstractNumId w:val="174809"/>
  </w:num>
  <w:num w:numId="50">
    <w:abstractNumId w:val="174810"/>
  </w:num>
  <w:num w:numId="51">
    <w:abstractNumId w:val="174811"/>
  </w:num>
  <w:num w:numId="52">
    <w:abstractNumId w:val="174812"/>
  </w:num>
  <w:num w:numId="53">
    <w:abstractNumId w:val="174813"/>
  </w:num>
  <w:num w:numId="54">
    <w:abstractNumId w:val="174814"/>
  </w:num>
  <w:num w:numId="55">
    <w:abstractNumId w:val="174815"/>
  </w:num>
  <w:num w:numId="56">
    <w:abstractNumId w:val="17481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2026-09-17T06:13:24Z</dcterms:created>
  <dc:creator>Apache POI</dc:creator>
</cp:coreProperties>
</file>