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TikTok Minis 插屏广告接入指南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能力简介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插屏广告用于在 TikTok Minis 中展示一次性全屏广告，适合放在章节切换、页面切换或阶段性节点上。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开发者前端通过 </w:t>
      </w:r>
      <w:r>
        <w:rPr>
          <w:rFonts w:eastAsia="Consolas" w:ascii="Consolas" w:cs="Consolas" w:hAnsi="Consolas"/>
          <w:sz w:val="22"/>
          <w:shd w:fill="EFF0F1"/>
        </w:rPr>
        <w:t>TTMinis.createInterstitialAd()</w:t>
      </w:r>
      <w:r>
        <w:rPr>
          <w:rFonts w:eastAsia="等线" w:ascii="Arial" w:cs="Arial" w:hAnsi="Arial"/>
          <w:sz w:val="22"/>
        </w:rPr>
        <w:t xml:space="preserve"> 创建插屏广告实例，再通过 </w:t>
      </w:r>
      <w:r>
        <w:rPr>
          <w:rFonts w:eastAsia="Consolas" w:ascii="Consolas" w:cs="Consolas" w:hAnsi="Consolas"/>
          <w:sz w:val="22"/>
          <w:shd w:fill="EFF0F1"/>
        </w:rPr>
        <w:t>show()</w:t>
      </w:r>
      <w:r>
        <w:rPr>
          <w:rFonts w:eastAsia="等线" w:ascii="Arial" w:cs="Arial" w:hAnsi="Arial"/>
          <w:sz w:val="22"/>
        </w:rPr>
        <w:t xml:space="preserve"> 拉起广告。广告关闭后，前端再继续后续业务流程。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整体流程与小游戏插屏广告接入方案一致，只是前端 JSAPI 换成了 Minis 的 </w:t>
      </w:r>
      <w:r>
        <w:rPr>
          <w:rFonts w:eastAsia="Consolas" w:ascii="Consolas" w:cs="Consolas" w:hAnsi="Consolas"/>
          <w:sz w:val="22"/>
          <w:shd w:fill="EFF0F1"/>
        </w:rPr>
        <w:t>TTMinis.createInterstitialAd()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适用场景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建议开发者在以下场景接入插屏广告：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页面跳转前后插入一次广告曝光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某个阶段性任务完成后进行商业化补充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打开Minis或打开剧集触发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高频连续触发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在用户关键操作过程中反复打断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接入前置条件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在接入插屏广告前，建议开发者先满足这些前置条件：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页面已经完成 Minis JSSDK 接入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HTML 中已正确完成 SDK 初始化：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&lt;head&gt;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&lt;script src="</w:t>
            </w:r>
            <w:r>
              <w:rPr>
                <w:rFonts w:eastAsia="Consolas" w:ascii="Consolas" w:cs="Consolas" w:hAnsi="Consolas"/>
                <w:sz w:val="22"/>
              </w:rPr>
              <w:t>https://connect.tiktok-minis.com/drama/sdk.js</w:t>
            </w:r>
            <w:r>
              <w:rPr>
                <w:rFonts w:eastAsia="Consolas" w:ascii="Consolas" w:cs="Consolas" w:hAnsi="Consolas"/>
                <w:sz w:val="22"/>
              </w:rPr>
              <w:t>"&gt;&lt;/script&gt;</w:t>
              <w:br/>
              <w:t xml:space="preserve">  &lt;script&gt;</w:t>
              <w:br/>
              <w:t xml:space="preserve">    TTMinis.init({</w:t>
              <w:br/>
              <w:t xml:space="preserve">      clientKey: 'your_client_key',</w:t>
              <w:br/>
              <w:t xml:space="preserve">    });</w:t>
              <w:br/>
              <w:t xml:space="preserve">  &lt;/script&gt;</w:t>
              <w:br/>
            </w:r>
            <w:r>
              <w:rPr>
                <w:rFonts w:eastAsia="Consolas" w:ascii="Consolas" w:cs="Consolas" w:hAnsi="Consolas"/>
                <w:sz w:val="22"/>
              </w:rPr>
              <w:t>&lt;/head&gt;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当前项目能够正常本地启动，并满足以下基础要求：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项目根目录存在 </w:t>
      </w:r>
      <w:r>
        <w:rPr>
          <w:rFonts w:eastAsia="Consolas" w:ascii="Consolas" w:cs="Consolas" w:hAnsi="Consolas"/>
          <w:sz w:val="22"/>
          <w:shd w:fill="EFF0F1"/>
        </w:rPr>
        <w:t>package.json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package.json</w:t>
      </w:r>
      <w:r>
        <w:rPr>
          <w:rFonts w:eastAsia="等线" w:ascii="Arial" w:cs="Arial" w:hAnsi="Arial"/>
          <w:sz w:val="22"/>
        </w:rPr>
        <w:t xml:space="preserve"> 中至少提供 </w:t>
      </w: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 启动脚本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项目根目录存在 </w:t>
      </w:r>
      <w:r>
        <w:rPr>
          <w:rFonts w:eastAsia="Consolas" w:ascii="Consolas" w:cs="Consolas" w:hAnsi="Consolas"/>
          <w:sz w:val="22"/>
          <w:shd w:fill="EFF0F1"/>
        </w:rPr>
        <w:t>minis.config.json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开发者已完成企业认证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开发者已在平台开启 IAA 能力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开发者已在平台创建并激活插屏广告位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建议先通过 </w:t>
      </w:r>
      <w:r>
        <w:rPr>
          <w:rFonts w:eastAsia="Consolas" w:ascii="Consolas" w:cs="Consolas" w:hAnsi="Consolas"/>
          <w:sz w:val="22"/>
          <w:shd w:fill="EFF0F1"/>
        </w:rPr>
        <w:t>TTMinis.canIUse('createInterstitialAd')</w:t>
      </w:r>
      <w:r>
        <w:rPr>
          <w:rFonts w:eastAsia="等线" w:ascii="Arial" w:cs="Arial" w:hAnsi="Arial"/>
          <w:sz w:val="22"/>
        </w:rPr>
        <w:t xml:space="preserve"> 判断环境支持情况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如果你需要在飞书或其他支持 PlantUML 的文档系统中直接展示时序图，可以使用同目录下的文件：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docs/capabilities/ad/interstitial-ad.puml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完整接入流程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 0：平台创建并激活插屏广告位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在正式调用插屏广告前，开发者需要先在平台后台：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创建插屏广告位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获取对应广告位 ID（</w:t>
      </w:r>
      <w:r>
        <w:rPr>
          <w:rFonts w:eastAsia="Consolas" w:ascii="Consolas" w:cs="Consolas" w:hAnsi="Consolas"/>
          <w:sz w:val="22"/>
          <w:shd w:fill="EFF0F1"/>
        </w:rPr>
        <w:t>adUnitId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手动把广告位切换为“激活”状态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如果广告位未激活，前端即使成功创建实例，也可能无法正常展示。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 1： 前端版本兼容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(TTMinis.canIUse(createInterstitialAd)) {</w:t>
              <w:br/>
              <w:t xml:space="preserve">   // 可调用插屏广告</w:t>
              <w:br/>
              <w:t>} else {</w:t>
              <w:br/>
              <w:t xml:space="preserve">  // 弹出一个弹窗，弹窗内容可为：“当前 TikTok 版本过低，请升级 TikTok 版本”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2</w:t>
      </w:r>
      <w:r>
        <w:rPr>
          <w:rFonts w:eastAsia="等线" w:ascii="Arial" w:cs="Arial" w:hAnsi="Arial"/>
          <w:b w:val="true"/>
          <w:sz w:val="30"/>
        </w:rPr>
        <w:t>：前端创建插屏广告实例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前端调用：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interstitialAd = window.TTMinis.createInterstitialAd({</w:t>
              <w:br/>
              <w:t xml:space="preserve">  adUnitId: 'your_interstitial_ad_unit_id',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3</w:t>
      </w:r>
      <w:r>
        <w:rPr>
          <w:rFonts w:eastAsia="等线" w:ascii="Arial" w:cs="Arial" w:hAnsi="Arial"/>
          <w:b w:val="true"/>
          <w:sz w:val="30"/>
        </w:rPr>
        <w:t>：前端注册回调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建议至少注册两类回调：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onClose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onClose</w:t>
      </w:r>
      <w:r>
        <w:rPr>
          <w:rFonts w:eastAsia="等线" w:ascii="Arial" w:cs="Arial" w:hAnsi="Arial"/>
          <w:sz w:val="22"/>
        </w:rPr>
        <w:t xml:space="preserve"> 用于感知广告是否关闭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onError</w:t>
      </w:r>
      <w:r>
        <w:rPr>
          <w:rFonts w:eastAsia="等线" w:ascii="Arial" w:cs="Arial" w:hAnsi="Arial"/>
          <w:sz w:val="22"/>
        </w:rPr>
        <w:t xml:space="preserve"> 用于感知素材拉取失败、播放失败等异常情况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4</w:t>
      </w:r>
      <w:r>
        <w:rPr>
          <w:rFonts w:eastAsia="等线" w:ascii="Arial" w:cs="Arial" w:hAnsi="Arial"/>
          <w:b w:val="true"/>
          <w:sz w:val="30"/>
        </w:rPr>
        <w:t>：前端调用</w:t>
      </w:r>
      <w:r>
        <w:rPr>
          <w:rFonts w:eastAsia="等线" w:ascii="Arial" w:cs="Arial" w:hAnsi="Arial"/>
          <w:b w:val="true"/>
          <w:sz w:val="30"/>
        </w:rPr>
        <w:t>`show()`</w:t>
      </w:r>
      <w:r>
        <w:rPr>
          <w:rFonts w:eastAsia="等线" w:ascii="Arial" w:cs="Arial" w:hAnsi="Arial"/>
          <w:b w:val="true"/>
          <w:sz w:val="30"/>
        </w:rPr>
        <w:t xml:space="preserve"> 展示广告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前端通过：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interstitialAd.show()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发起广告展示。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5</w:t>
      </w:r>
      <w:r>
        <w:rPr>
          <w:rFonts w:eastAsia="等线" w:ascii="Arial" w:cs="Arial" w:hAnsi="Arial"/>
          <w:b w:val="true"/>
          <w:sz w:val="30"/>
        </w:rPr>
        <w:t>：广告关闭后恢复业务流程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插屏广告本身不承担“看完发奖”的业务语义。一般做法是：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广告展示成功后等待关闭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广告关闭后恢复原有页面流程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若广告失败，则决定是否降级继续执行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API 说明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创建方法：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ad = TTMinis.createInterstitialAd({ adUnitId: string })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返回实例常用方法：</w:t>
              <w:br/>
              <w:br/>
              <w:t>| 方法 | 说明 |</w:t>
              <w:br/>
              <w:t>| --- | --- |</w:t>
              <w:br/>
              <w:t>| `show()` | 展示广告，返回 `Promise&lt;void&gt;` |</w:t>
              <w:br/>
              <w:t>| `onClose(callback)` | 监听关闭事件 |</w:t>
              <w:br/>
              <w:t>| `offClose(callback)` | 取消关闭监听 |</w:t>
              <w:br/>
              <w:t>| `onError(callback)` | 监听错误事件 |</w:t>
              <w:br/>
            </w:r>
            <w:r>
              <w:rPr>
                <w:rFonts w:eastAsia="Consolas" w:ascii="Consolas" w:cs="Consolas" w:hAnsi="Consolas"/>
                <w:sz w:val="22"/>
              </w:rPr>
              <w:t>| `offError(callback)` | 取消错误监听 |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前端接入示例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interstitialAd = window.TTMinis.createInterstitialAd({</w:t>
              <w:br/>
              <w:t xml:space="preserve">  adUnitId: 'your_interstitial_ad_unit_id',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handleClose = ()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=&gt;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interstitialAd.offClose(handleClose);</w:t>
              <w:br/>
              <w:t xml:space="preserve">  console.log('插屏广告已关闭，继续后续流程');</w:t>
              <w:br/>
              <w:t xml:space="preserve">  continueBusinessFlow();</w:t>
              <w:br/>
              <w:t>};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handleError = 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=&gt;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interstitialAd.offError(handleError);</w:t>
              <w:br/>
              <w:t xml:space="preserve">  console.error('interstitial ad error', err);</w:t>
              <w:br/>
              <w:t xml:space="preserve">  continueBusinessFlow();</w:t>
              <w:br/>
              <w:t>};</w:t>
              <w:br/>
              <w:br/>
              <w:t>interstitialAd.onClose(handleClose);</w:t>
              <w:br/>
              <w:t>interstitialAd.onError(handleError);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interstitialAd.show().catch((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=&gt;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console.error('interstitial ad show failed', err);</w:t>
              <w:br/>
              <w:t xml:space="preserve">  continueBusinessFlow();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联调建议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建议开发者按下面顺序联调：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先确认插屏广告位已创建并激活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TTMinis.canIUse('createInterstitialAd')</w:t>
      </w:r>
      <w:r>
        <w:rPr>
          <w:rFonts w:eastAsia="等线" w:ascii="Arial" w:cs="Arial" w:hAnsi="Arial"/>
          <w:sz w:val="22"/>
        </w:rPr>
        <w:t xml:space="preserve"> 判断当前环境是否支持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 </w:t>
      </w:r>
      <w:r>
        <w:rPr>
          <w:rFonts w:eastAsia="Consolas" w:ascii="Consolas" w:cs="Consolas" w:hAnsi="Consolas"/>
          <w:sz w:val="22"/>
          <w:shd w:fill="EFF0F1"/>
        </w:rPr>
        <w:t>minis dev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通过扫码连接客户端环境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在业务切换节点触发插屏广告展示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分别验证：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正常展示后关闭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素材拉取失败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客户端不支持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8. 常见问题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8.1 为什么客户端不支持插屏广告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插屏广告能力依赖客户端版本，建议开发者始终在调用前先做 </w:t>
      </w:r>
      <w:r>
        <w:rPr>
          <w:rFonts w:eastAsia="Consolas" w:ascii="Consolas" w:cs="Consolas" w:hAnsi="Consolas"/>
          <w:sz w:val="22"/>
          <w:shd w:fill="EFF0F1"/>
        </w:rPr>
        <w:t>canIUse</w:t>
      </w:r>
      <w:r>
        <w:rPr>
          <w:rFonts w:eastAsia="等线" w:ascii="Arial" w:cs="Arial" w:hAnsi="Arial"/>
          <w:sz w:val="22"/>
        </w:rPr>
        <w:t xml:space="preserve"> 探测。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8.2 为什么展示后马上关闭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常见原因包括：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广告素材拉取失败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播放过程中出现异常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当前广告位或当前环境不满足展示条件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8.3 一个广告实例能反复</w:t>
      </w:r>
      <w:r>
        <w:rPr>
          <w:rFonts w:eastAsia="等线" w:ascii="Arial" w:cs="Arial" w:hAnsi="Arial"/>
          <w:b w:val="true"/>
          <w:sz w:val="30"/>
        </w:rPr>
        <w:t>`show()`</w:t>
      </w:r>
      <w:r>
        <w:rPr>
          <w:rFonts w:eastAsia="等线" w:ascii="Arial" w:cs="Arial" w:hAnsi="Arial"/>
          <w:b w:val="true"/>
          <w:sz w:val="30"/>
        </w:rPr>
        <w:t xml:space="preserve"> 吗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当前推荐做法是：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每次展示前重新创建一个新的插屏广告实例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8.4 插屏广告需要发奖励吗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一般不需要。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插屏广告通常承担的是展示和曝光，不像激励视频广告那样需要基于 </w:t>
      </w:r>
      <w:r>
        <w:rPr>
          <w:rFonts w:eastAsia="Consolas" w:ascii="Consolas" w:cs="Consolas" w:hAnsi="Consolas"/>
          <w:sz w:val="22"/>
          <w:shd w:fill="EFF0F1"/>
        </w:rPr>
        <w:t>isEnded</w:t>
      </w:r>
      <w:r>
        <w:rPr>
          <w:rFonts w:eastAsia="等线" w:ascii="Arial" w:cs="Arial" w:hAnsi="Arial"/>
          <w:sz w:val="22"/>
        </w:rPr>
        <w:t xml:space="preserve"> 发放奖励。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8.5 有没有频控要求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建议开发者在业务层自己做好频控，避免：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过短时间内重复展示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单次使用过程中多次打断用户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9. 最佳实践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展示前先做 </w:t>
      </w:r>
      <w:r>
        <w:rPr>
          <w:rFonts w:eastAsia="Consolas" w:ascii="Consolas" w:cs="Consolas" w:hAnsi="Consolas"/>
          <w:sz w:val="22"/>
          <w:shd w:fill="EFF0F1"/>
        </w:rPr>
        <w:t>canIUse</w:t>
      </w:r>
      <w:r>
        <w:rPr>
          <w:rFonts w:eastAsia="等线" w:ascii="Arial" w:cs="Arial" w:hAnsi="Arial"/>
          <w:sz w:val="22"/>
        </w:rPr>
        <w:t xml:space="preserve"> 判断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广告位创建后第一时间激活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每次展示使用新的广告实例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广告关闭后再恢复业务流程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广告失败时要有降级策略，不要阻塞主流程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817">
    <w:lvl>
      <w:numFmt w:val="bullet"/>
      <w:suff w:val="tab"/>
      <w:lvlText w:val="•"/>
      <w:rPr>
        <w:color w:val="3370ff"/>
      </w:rPr>
    </w:lvl>
  </w:abstractNum>
  <w:abstractNum w:abstractNumId="174818">
    <w:lvl>
      <w:numFmt w:val="bullet"/>
      <w:suff w:val="tab"/>
      <w:lvlText w:val="•"/>
      <w:rPr>
        <w:color w:val="3370ff"/>
      </w:rPr>
    </w:lvl>
  </w:abstractNum>
  <w:abstractNum w:abstractNumId="174819">
    <w:lvl>
      <w:numFmt w:val="bullet"/>
      <w:suff w:val="tab"/>
      <w:lvlText w:val="•"/>
      <w:rPr>
        <w:color w:val="3370ff"/>
      </w:rPr>
    </w:lvl>
  </w:abstractNum>
  <w:abstractNum w:abstractNumId="174820">
    <w:lvl>
      <w:numFmt w:val="bullet"/>
      <w:suff w:val="tab"/>
      <w:lvlText w:val="•"/>
      <w:rPr>
        <w:color w:val="3370ff"/>
      </w:rPr>
    </w:lvl>
  </w:abstractNum>
  <w:abstractNum w:abstractNumId="174821">
    <w:lvl>
      <w:numFmt w:val="bullet"/>
      <w:suff w:val="tab"/>
      <w:lvlText w:val="•"/>
      <w:rPr>
        <w:color w:val="3370ff"/>
      </w:rPr>
    </w:lvl>
  </w:abstractNum>
  <w:abstractNum w:abstractNumId="174822">
    <w:lvl>
      <w:start w:val="1"/>
      <w:numFmt w:val="decimal"/>
      <w:suff w:val="tab"/>
      <w:lvlText w:val="%1."/>
      <w:rPr>
        <w:color w:val="3370ff"/>
      </w:rPr>
    </w:lvl>
  </w:abstractNum>
  <w:abstractNum w:abstractNumId="174823">
    <w:lvl>
      <w:start w:val="2"/>
      <w:numFmt w:val="decimal"/>
      <w:suff w:val="tab"/>
      <w:lvlText w:val="%1."/>
      <w:rPr>
        <w:color w:val="3370ff"/>
      </w:rPr>
    </w:lvl>
  </w:abstractNum>
  <w:abstractNum w:abstractNumId="174824">
    <w:lvl>
      <w:start w:val="3"/>
      <w:numFmt w:val="decimal"/>
      <w:suff w:val="tab"/>
      <w:lvlText w:val="%1."/>
      <w:rPr>
        <w:color w:val="3370ff"/>
      </w:rPr>
    </w:lvl>
  </w:abstractNum>
  <w:abstractNum w:abstractNumId="174825">
    <w:lvl>
      <w:numFmt w:val="bullet"/>
      <w:suff w:val="tab"/>
      <w:lvlText w:val="￮"/>
      <w:rPr>
        <w:color w:val="3370ff"/>
      </w:rPr>
    </w:lvl>
  </w:abstractNum>
  <w:abstractNum w:abstractNumId="174826">
    <w:lvl>
      <w:numFmt w:val="bullet"/>
      <w:suff w:val="tab"/>
      <w:lvlText w:val="￮"/>
      <w:rPr>
        <w:color w:val="3370ff"/>
      </w:rPr>
    </w:lvl>
  </w:abstractNum>
  <w:abstractNum w:abstractNumId="174827">
    <w:lvl>
      <w:numFmt w:val="bullet"/>
      <w:suff w:val="tab"/>
      <w:lvlText w:val="￮"/>
      <w:rPr>
        <w:color w:val="3370ff"/>
      </w:rPr>
    </w:lvl>
  </w:abstractNum>
  <w:abstractNum w:abstractNumId="174828">
    <w:lvl>
      <w:start w:val="4"/>
      <w:numFmt w:val="decimal"/>
      <w:suff w:val="tab"/>
      <w:lvlText w:val="%1."/>
      <w:rPr>
        <w:color w:val="3370ff"/>
      </w:rPr>
    </w:lvl>
  </w:abstractNum>
  <w:abstractNum w:abstractNumId="174829">
    <w:lvl>
      <w:start w:val="5"/>
      <w:numFmt w:val="decimal"/>
      <w:suff w:val="tab"/>
      <w:lvlText w:val="%1."/>
      <w:rPr>
        <w:color w:val="3370ff"/>
      </w:rPr>
    </w:lvl>
  </w:abstractNum>
  <w:abstractNum w:abstractNumId="174830">
    <w:lvl>
      <w:start w:val="6"/>
      <w:numFmt w:val="decimal"/>
      <w:suff w:val="tab"/>
      <w:lvlText w:val="%1."/>
      <w:rPr>
        <w:color w:val="3370ff"/>
      </w:rPr>
    </w:lvl>
  </w:abstractNum>
  <w:abstractNum w:abstractNumId="174831">
    <w:lvl>
      <w:start w:val="7"/>
      <w:numFmt w:val="decimal"/>
      <w:suff w:val="tab"/>
      <w:lvlText w:val="%1."/>
      <w:rPr>
        <w:color w:val="3370ff"/>
      </w:rPr>
    </w:lvl>
  </w:abstractNum>
  <w:abstractNum w:abstractNumId="174832">
    <w:lvl>
      <w:numFmt w:val="bullet"/>
      <w:suff w:val="tab"/>
      <w:lvlText w:val="•"/>
      <w:rPr>
        <w:color w:val="3370ff"/>
      </w:rPr>
    </w:lvl>
  </w:abstractNum>
  <w:abstractNum w:abstractNumId="174833">
    <w:lvl>
      <w:start w:val="1"/>
      <w:numFmt w:val="decimal"/>
      <w:suff w:val="tab"/>
      <w:lvlText w:val="%1."/>
      <w:rPr>
        <w:color w:val="3370ff"/>
      </w:rPr>
    </w:lvl>
  </w:abstractNum>
  <w:abstractNum w:abstractNumId="174834">
    <w:lvl>
      <w:start w:val="2"/>
      <w:numFmt w:val="decimal"/>
      <w:suff w:val="tab"/>
      <w:lvlText w:val="%1."/>
      <w:rPr>
        <w:color w:val="3370ff"/>
      </w:rPr>
    </w:lvl>
  </w:abstractNum>
  <w:abstractNum w:abstractNumId="174835">
    <w:lvl>
      <w:start w:val="3"/>
      <w:numFmt w:val="decimal"/>
      <w:suff w:val="tab"/>
      <w:lvlText w:val="%1."/>
      <w:rPr>
        <w:color w:val="3370ff"/>
      </w:rPr>
    </w:lvl>
  </w:abstractNum>
  <w:abstractNum w:abstractNumId="174836">
    <w:lvl>
      <w:numFmt w:val="bullet"/>
      <w:suff w:val="tab"/>
      <w:lvlText w:val="•"/>
      <w:rPr>
        <w:color w:val="3370ff"/>
      </w:rPr>
    </w:lvl>
  </w:abstractNum>
  <w:abstractNum w:abstractNumId="174837">
    <w:lvl>
      <w:numFmt w:val="bullet"/>
      <w:suff w:val="tab"/>
      <w:lvlText w:val="•"/>
      <w:rPr>
        <w:color w:val="3370ff"/>
      </w:rPr>
    </w:lvl>
  </w:abstractNum>
  <w:abstractNum w:abstractNumId="174838">
    <w:lvl>
      <w:numFmt w:val="bullet"/>
      <w:suff w:val="tab"/>
      <w:lvlText w:val="•"/>
      <w:rPr>
        <w:color w:val="3370ff"/>
      </w:rPr>
    </w:lvl>
  </w:abstractNum>
  <w:abstractNum w:abstractNumId="174839">
    <w:lvl>
      <w:numFmt w:val="bullet"/>
      <w:suff w:val="tab"/>
      <w:lvlText w:val="•"/>
      <w:rPr>
        <w:color w:val="3370ff"/>
      </w:rPr>
    </w:lvl>
  </w:abstractNum>
  <w:abstractNum w:abstractNumId="174840">
    <w:lvl>
      <w:numFmt w:val="bullet"/>
      <w:suff w:val="tab"/>
      <w:lvlText w:val="•"/>
      <w:rPr>
        <w:color w:val="3370ff"/>
      </w:rPr>
    </w:lvl>
  </w:abstractNum>
  <w:abstractNum w:abstractNumId="174841">
    <w:lvl>
      <w:numFmt w:val="bullet"/>
      <w:suff w:val="tab"/>
      <w:lvlText w:val="•"/>
      <w:rPr>
        <w:color w:val="3370ff"/>
      </w:rPr>
    </w:lvl>
  </w:abstractNum>
  <w:abstractNum w:abstractNumId="174842">
    <w:lvl>
      <w:numFmt w:val="bullet"/>
      <w:suff w:val="tab"/>
      <w:lvlText w:val="•"/>
      <w:rPr>
        <w:color w:val="3370ff"/>
      </w:rPr>
    </w:lvl>
  </w:abstractNum>
  <w:abstractNum w:abstractNumId="174843">
    <w:lvl>
      <w:start w:val="1"/>
      <w:numFmt w:val="decimal"/>
      <w:suff w:val="tab"/>
      <w:lvlText w:val="%1."/>
      <w:rPr>
        <w:color w:val="3370ff"/>
      </w:rPr>
    </w:lvl>
  </w:abstractNum>
  <w:abstractNum w:abstractNumId="174844">
    <w:lvl>
      <w:start w:val="2"/>
      <w:numFmt w:val="decimal"/>
      <w:suff w:val="tab"/>
      <w:lvlText w:val="%1."/>
      <w:rPr>
        <w:color w:val="3370ff"/>
      </w:rPr>
    </w:lvl>
  </w:abstractNum>
  <w:abstractNum w:abstractNumId="174845">
    <w:lvl>
      <w:start w:val="3"/>
      <w:numFmt w:val="decimal"/>
      <w:suff w:val="tab"/>
      <w:lvlText w:val="%1."/>
      <w:rPr>
        <w:color w:val="3370ff"/>
      </w:rPr>
    </w:lvl>
  </w:abstractNum>
  <w:abstractNum w:abstractNumId="174846">
    <w:lvl>
      <w:start w:val="4"/>
      <w:numFmt w:val="decimal"/>
      <w:suff w:val="tab"/>
      <w:lvlText w:val="%1."/>
      <w:rPr>
        <w:color w:val="3370ff"/>
      </w:rPr>
    </w:lvl>
  </w:abstractNum>
  <w:abstractNum w:abstractNumId="174847">
    <w:lvl>
      <w:start w:val="5"/>
      <w:numFmt w:val="decimal"/>
      <w:suff w:val="tab"/>
      <w:lvlText w:val="%1."/>
      <w:rPr>
        <w:color w:val="3370ff"/>
      </w:rPr>
    </w:lvl>
  </w:abstractNum>
  <w:abstractNum w:abstractNumId="174848">
    <w:lvl>
      <w:start w:val="6"/>
      <w:numFmt w:val="decimal"/>
      <w:suff w:val="tab"/>
      <w:lvlText w:val="%1."/>
      <w:rPr>
        <w:color w:val="3370ff"/>
      </w:rPr>
    </w:lvl>
  </w:abstractNum>
  <w:abstractNum w:abstractNumId="174849">
    <w:lvl>
      <w:numFmt w:val="bullet"/>
      <w:suff w:val="tab"/>
      <w:lvlText w:val="￮"/>
      <w:rPr>
        <w:color w:val="3370ff"/>
      </w:rPr>
    </w:lvl>
  </w:abstractNum>
  <w:abstractNum w:abstractNumId="174850">
    <w:lvl>
      <w:numFmt w:val="bullet"/>
      <w:suff w:val="tab"/>
      <w:lvlText w:val="￮"/>
      <w:rPr>
        <w:color w:val="3370ff"/>
      </w:rPr>
    </w:lvl>
  </w:abstractNum>
  <w:abstractNum w:abstractNumId="174851">
    <w:lvl>
      <w:numFmt w:val="bullet"/>
      <w:suff w:val="tab"/>
      <w:lvlText w:val="￮"/>
      <w:rPr>
        <w:color w:val="3370ff"/>
      </w:rPr>
    </w:lvl>
  </w:abstractNum>
  <w:abstractNum w:abstractNumId="174852">
    <w:lvl>
      <w:numFmt w:val="bullet"/>
      <w:suff w:val="tab"/>
      <w:lvlText w:val="•"/>
      <w:rPr>
        <w:color w:val="3370ff"/>
      </w:rPr>
    </w:lvl>
  </w:abstractNum>
  <w:abstractNum w:abstractNumId="174853">
    <w:lvl>
      <w:numFmt w:val="bullet"/>
      <w:suff w:val="tab"/>
      <w:lvlText w:val="•"/>
      <w:rPr>
        <w:color w:val="3370ff"/>
      </w:rPr>
    </w:lvl>
  </w:abstractNum>
  <w:abstractNum w:abstractNumId="174854">
    <w:lvl>
      <w:numFmt w:val="bullet"/>
      <w:suff w:val="tab"/>
      <w:lvlText w:val="•"/>
      <w:rPr>
        <w:color w:val="3370ff"/>
      </w:rPr>
    </w:lvl>
  </w:abstractNum>
  <w:abstractNum w:abstractNumId="174855">
    <w:lvl>
      <w:numFmt w:val="bullet"/>
      <w:suff w:val="tab"/>
      <w:lvlText w:val="•"/>
      <w:rPr>
        <w:color w:val="3370ff"/>
      </w:rPr>
    </w:lvl>
  </w:abstractNum>
  <w:abstractNum w:abstractNumId="174856">
    <w:lvl>
      <w:numFmt w:val="bullet"/>
      <w:suff w:val="tab"/>
      <w:lvlText w:val="•"/>
      <w:rPr>
        <w:color w:val="3370ff"/>
      </w:rPr>
    </w:lvl>
  </w:abstractNum>
  <w:abstractNum w:abstractNumId="174857">
    <w:lvl>
      <w:numFmt w:val="bullet"/>
      <w:suff w:val="tab"/>
      <w:lvlText w:val="•"/>
      <w:rPr>
        <w:color w:val="3370ff"/>
      </w:rPr>
    </w:lvl>
  </w:abstractNum>
  <w:abstractNum w:abstractNumId="174858">
    <w:lvl>
      <w:start w:val="1"/>
      <w:numFmt w:val="decimal"/>
      <w:suff w:val="tab"/>
      <w:lvlText w:val="%1."/>
      <w:rPr>
        <w:color w:val="3370ff"/>
      </w:rPr>
    </w:lvl>
  </w:abstractNum>
  <w:abstractNum w:abstractNumId="174859">
    <w:lvl>
      <w:start w:val="2"/>
      <w:numFmt w:val="decimal"/>
      <w:suff w:val="tab"/>
      <w:lvlText w:val="%1."/>
      <w:rPr>
        <w:color w:val="3370ff"/>
      </w:rPr>
    </w:lvl>
  </w:abstractNum>
  <w:abstractNum w:abstractNumId="174860">
    <w:lvl>
      <w:start w:val="3"/>
      <w:numFmt w:val="decimal"/>
      <w:suff w:val="tab"/>
      <w:lvlText w:val="%1."/>
      <w:rPr>
        <w:color w:val="3370ff"/>
      </w:rPr>
    </w:lvl>
  </w:abstractNum>
  <w:abstractNum w:abstractNumId="174861">
    <w:lvl>
      <w:start w:val="4"/>
      <w:numFmt w:val="decimal"/>
      <w:suff w:val="tab"/>
      <w:lvlText w:val="%1."/>
      <w:rPr>
        <w:color w:val="3370ff"/>
      </w:rPr>
    </w:lvl>
  </w:abstractNum>
  <w:abstractNum w:abstractNumId="17486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4817"/>
  </w:num>
  <w:num w:numId="2">
    <w:abstractNumId w:val="174818"/>
  </w:num>
  <w:num w:numId="3">
    <w:abstractNumId w:val="174819"/>
  </w:num>
  <w:num w:numId="4">
    <w:abstractNumId w:val="174820"/>
  </w:num>
  <w:num w:numId="5">
    <w:abstractNumId w:val="174821"/>
  </w:num>
  <w:num w:numId="6">
    <w:abstractNumId w:val="174822"/>
  </w:num>
  <w:num w:numId="7">
    <w:abstractNumId w:val="174823"/>
  </w:num>
  <w:num w:numId="8">
    <w:abstractNumId w:val="174824"/>
  </w:num>
  <w:num w:numId="9">
    <w:abstractNumId w:val="174825"/>
  </w:num>
  <w:num w:numId="10">
    <w:abstractNumId w:val="174826"/>
  </w:num>
  <w:num w:numId="11">
    <w:abstractNumId w:val="174827"/>
  </w:num>
  <w:num w:numId="12">
    <w:abstractNumId w:val="174828"/>
  </w:num>
  <w:num w:numId="13">
    <w:abstractNumId w:val="174829"/>
  </w:num>
  <w:num w:numId="14">
    <w:abstractNumId w:val="174830"/>
  </w:num>
  <w:num w:numId="15">
    <w:abstractNumId w:val="174831"/>
  </w:num>
  <w:num w:numId="16">
    <w:abstractNumId w:val="174832"/>
  </w:num>
  <w:num w:numId="17">
    <w:abstractNumId w:val="174833"/>
  </w:num>
  <w:num w:numId="18">
    <w:abstractNumId w:val="174834"/>
  </w:num>
  <w:num w:numId="19">
    <w:abstractNumId w:val="174835"/>
  </w:num>
  <w:num w:numId="20">
    <w:abstractNumId w:val="174836"/>
  </w:num>
  <w:num w:numId="21">
    <w:abstractNumId w:val="174837"/>
  </w:num>
  <w:num w:numId="22">
    <w:abstractNumId w:val="174838"/>
  </w:num>
  <w:num w:numId="23">
    <w:abstractNumId w:val="174839"/>
  </w:num>
  <w:num w:numId="24">
    <w:abstractNumId w:val="174840"/>
  </w:num>
  <w:num w:numId="25">
    <w:abstractNumId w:val="174841"/>
  </w:num>
  <w:num w:numId="26">
    <w:abstractNumId w:val="174842"/>
  </w:num>
  <w:num w:numId="27">
    <w:abstractNumId w:val="174843"/>
  </w:num>
  <w:num w:numId="28">
    <w:abstractNumId w:val="174844"/>
  </w:num>
  <w:num w:numId="29">
    <w:abstractNumId w:val="174845"/>
  </w:num>
  <w:num w:numId="30">
    <w:abstractNumId w:val="174846"/>
  </w:num>
  <w:num w:numId="31">
    <w:abstractNumId w:val="174847"/>
  </w:num>
  <w:num w:numId="32">
    <w:abstractNumId w:val="174848"/>
  </w:num>
  <w:num w:numId="33">
    <w:abstractNumId w:val="174849"/>
  </w:num>
  <w:num w:numId="34">
    <w:abstractNumId w:val="174850"/>
  </w:num>
  <w:num w:numId="35">
    <w:abstractNumId w:val="174851"/>
  </w:num>
  <w:num w:numId="36">
    <w:abstractNumId w:val="174852"/>
  </w:num>
  <w:num w:numId="37">
    <w:abstractNumId w:val="174853"/>
  </w:num>
  <w:num w:numId="38">
    <w:abstractNumId w:val="174854"/>
  </w:num>
  <w:num w:numId="39">
    <w:abstractNumId w:val="174855"/>
  </w:num>
  <w:num w:numId="40">
    <w:abstractNumId w:val="174856"/>
  </w:num>
  <w:num w:numId="41">
    <w:abstractNumId w:val="174857"/>
  </w:num>
  <w:num w:numId="42">
    <w:abstractNumId w:val="174858"/>
  </w:num>
  <w:num w:numId="43">
    <w:abstractNumId w:val="174859"/>
  </w:num>
  <w:num w:numId="44">
    <w:abstractNumId w:val="174860"/>
  </w:num>
  <w:num w:numId="45">
    <w:abstractNumId w:val="174861"/>
  </w:num>
  <w:num w:numId="46">
    <w:abstractNumId w:val="1748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2026-09-17T06:13:30Z</dcterms:created>
  <dc:creator>Apache POI</dc:creator>
</cp:coreProperties>
</file>